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394" w:rsidRPr="0098400E" w:rsidRDefault="00C93394" w:rsidP="00C93394">
      <w:pPr>
        <w:spacing w:line="480" w:lineRule="auto"/>
        <w:rPr>
          <w:b/>
          <w:lang w:val="en-US"/>
        </w:rPr>
      </w:pPr>
      <w:r w:rsidRPr="0098400E">
        <w:rPr>
          <w:b/>
          <w:lang w:val="en-US"/>
        </w:rPr>
        <w:t>The treatment method and results of percutaneous pinning and dynamic external fixator application for unstable distal radius fractures</w:t>
      </w:r>
    </w:p>
    <w:p w:rsidR="0098400E" w:rsidRP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Adnan Kara, Asst.Prof. Dr. Istanbul Medipol University, Istanbul, Turkey</w:t>
      </w:r>
    </w:p>
    <w:p w:rsidR="0098400E" w:rsidRP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Erden Erturer, Prof. Dr. Istinye University, Istanbul, Turkey</w:t>
      </w:r>
    </w:p>
    <w:p w:rsidR="0098400E" w:rsidRP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Burak Sener, Asst.Prof. Dr. Uskudar University, Istanbul, Turkey</w:t>
      </w:r>
    </w:p>
    <w:p w:rsidR="0098400E" w:rsidRP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Faik Seckin, Asst.Prof. Dr. Bilim University, Istanbul, Turkey</w:t>
      </w:r>
    </w:p>
    <w:p w:rsidR="0098400E" w:rsidRP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Senol Akman, Prof. Dr. Bilim University, Istanbul, Turkey</w:t>
      </w:r>
    </w:p>
    <w:p w:rsidR="0098400E" w:rsidRDefault="0098400E" w:rsidP="0098400E">
      <w:pPr>
        <w:spacing w:after="200"/>
        <w:rPr>
          <w:rFonts w:eastAsiaTheme="minorHAnsi"/>
          <w:color w:val="000000"/>
          <w:sz w:val="22"/>
          <w:szCs w:val="22"/>
          <w:shd w:val="clear" w:color="auto" w:fill="FFFFFF"/>
          <w:lang w:eastAsia="en-US"/>
        </w:rPr>
      </w:pPr>
      <w:r w:rsidRPr="0098400E">
        <w:rPr>
          <w:rFonts w:eastAsiaTheme="minorHAnsi"/>
          <w:color w:val="000000"/>
          <w:sz w:val="22"/>
          <w:szCs w:val="22"/>
          <w:shd w:val="clear" w:color="auto" w:fill="FFFFFF"/>
          <w:lang w:eastAsia="en-US"/>
        </w:rPr>
        <w:t>Irfan Ozturk, Prof. Dr. Istanbul University, Istanbul, Turkey</w:t>
      </w:r>
    </w:p>
    <w:p w:rsidR="0098400E" w:rsidRPr="0098400E" w:rsidRDefault="0098400E" w:rsidP="0098400E">
      <w:pPr>
        <w:spacing w:after="200"/>
        <w:rPr>
          <w:rFonts w:eastAsiaTheme="minorHAnsi"/>
          <w:b/>
          <w:color w:val="000000"/>
          <w:sz w:val="22"/>
          <w:szCs w:val="22"/>
          <w:shd w:val="clear" w:color="auto" w:fill="FFFFFF"/>
          <w:lang w:eastAsia="en-US"/>
        </w:rPr>
      </w:pPr>
      <w:r w:rsidRPr="0098400E">
        <w:rPr>
          <w:rFonts w:eastAsiaTheme="minorHAnsi"/>
          <w:b/>
          <w:color w:val="000000"/>
          <w:sz w:val="22"/>
          <w:szCs w:val="22"/>
          <w:shd w:val="clear" w:color="auto" w:fill="FFFFFF"/>
          <w:lang w:eastAsia="en-US"/>
        </w:rPr>
        <w:t>ABSTRAC:</w:t>
      </w:r>
    </w:p>
    <w:p w:rsidR="0098400E" w:rsidRDefault="0098400E" w:rsidP="0098400E">
      <w:pPr>
        <w:spacing w:after="200" w:line="480" w:lineRule="auto"/>
      </w:pPr>
      <w:r w:rsidRPr="0098400E">
        <w:rPr>
          <w:b/>
        </w:rPr>
        <w:t>O</w:t>
      </w:r>
      <w:r w:rsidR="00C93394" w:rsidRPr="0098400E">
        <w:rPr>
          <w:b/>
        </w:rPr>
        <w:t>bjective:</w:t>
      </w:r>
      <w:r w:rsidR="00C93394">
        <w:t xml:space="preserve"> </w:t>
      </w:r>
      <w:r w:rsidR="00C93394" w:rsidRPr="002445DC">
        <w:t xml:space="preserve">The aim of this study is to present results of patients with unstable distal radius fracture treated with closed reduction and percutaneous fixation followed by application of Pennig dynamic wrist fixator </w:t>
      </w:r>
      <w:r w:rsidR="00C93394">
        <w:t>(</w:t>
      </w:r>
      <w:r w:rsidR="00C93394" w:rsidRPr="00902BCD">
        <w:t>Orthofix, Srl, Italy)</w:t>
      </w:r>
      <w:r w:rsidR="00C93394" w:rsidRPr="002445DC">
        <w:t xml:space="preserve"> allowing early wrist motion.</w:t>
      </w:r>
    </w:p>
    <w:p w:rsidR="0098400E" w:rsidRDefault="00C93394" w:rsidP="0098400E">
      <w:pPr>
        <w:spacing w:after="200" w:line="480" w:lineRule="auto"/>
      </w:pPr>
      <w:r w:rsidRPr="0098400E">
        <w:rPr>
          <w:b/>
        </w:rPr>
        <w:t>Materials and Method:</w:t>
      </w:r>
      <w:r>
        <w:t xml:space="preserve"> </w:t>
      </w:r>
      <w:r w:rsidRPr="002445DC">
        <w:t>This study includes 25 patients diagno</w:t>
      </w:r>
      <w:r>
        <w:t>sed with distal radius fracture and t</w:t>
      </w:r>
      <w:r w:rsidRPr="002445DC">
        <w:t xml:space="preserve">reated with closed reduction and percutaneous fixation followed by application of dynamic wrist fixator. The number of male and female patients were 15 (%60) and 10 (%40), respectively. The mean age of patients was 47.32 (20-76). The mean period between initial </w:t>
      </w:r>
      <w:r w:rsidRPr="007B0951">
        <w:t xml:space="preserve">trauma and operation was 8.52 (1-23) days. </w:t>
      </w:r>
      <w:r w:rsidR="00C621FE" w:rsidRPr="007B0951">
        <w:t>Mean follow-up was</w:t>
      </w:r>
      <w:r w:rsidR="007B0951" w:rsidRPr="007B0951">
        <w:t xml:space="preserve"> 20.3 </w:t>
      </w:r>
      <w:r w:rsidR="007B0951">
        <w:t>(8-60</w:t>
      </w:r>
      <w:r w:rsidR="004835CA" w:rsidRPr="007B0951">
        <w:t xml:space="preserve">) </w:t>
      </w:r>
      <w:r w:rsidR="00EE5329" w:rsidRPr="007B0951">
        <w:t>months.</w:t>
      </w:r>
      <w:r w:rsidR="004835CA" w:rsidRPr="007B0951">
        <w:t xml:space="preserve"> </w:t>
      </w:r>
      <w:r w:rsidRPr="007B0951">
        <w:t xml:space="preserve">All patients were allowed active shoulder, elbow and finger exercises immediately after surgery. </w:t>
      </w:r>
      <w:r w:rsidR="00381B14" w:rsidRPr="007B0951">
        <w:t xml:space="preserve">The external fixator was </w:t>
      </w:r>
      <w:r w:rsidR="007B0951" w:rsidRPr="007B0951">
        <w:t>dynami</w:t>
      </w:r>
      <w:r w:rsidR="002C0603" w:rsidRPr="007B0951">
        <w:t>zed at the end of</w:t>
      </w:r>
      <w:r w:rsidR="00381B14" w:rsidRPr="007B0951">
        <w:t xml:space="preserve"> </w:t>
      </w:r>
      <w:r w:rsidR="002C0603" w:rsidRPr="007B0951">
        <w:t>3rd</w:t>
      </w:r>
      <w:r w:rsidR="004835CA" w:rsidRPr="007B0951">
        <w:t xml:space="preserve"> </w:t>
      </w:r>
      <w:r w:rsidR="002C0603" w:rsidRPr="007B0951">
        <w:t>week and</w:t>
      </w:r>
      <w:r w:rsidR="004835CA" w:rsidRPr="007B0951">
        <w:t xml:space="preserve"> </w:t>
      </w:r>
      <w:r w:rsidR="009F2B2B" w:rsidRPr="007B0951">
        <w:t>removed at the mean of</w:t>
      </w:r>
      <w:r w:rsidR="007B0951">
        <w:t xml:space="preserve"> </w:t>
      </w:r>
      <w:r w:rsidR="004835CA" w:rsidRPr="007B0951">
        <w:t xml:space="preserve">6,8  (5–8) </w:t>
      </w:r>
      <w:r w:rsidR="007F5920" w:rsidRPr="007B0951">
        <w:t xml:space="preserve">weeks. </w:t>
      </w:r>
    </w:p>
    <w:p w:rsidR="00C93394" w:rsidRPr="002445DC" w:rsidRDefault="00C93394" w:rsidP="0098400E">
      <w:pPr>
        <w:spacing w:after="200" w:line="480" w:lineRule="auto"/>
        <w:rPr>
          <w:b/>
        </w:rPr>
      </w:pPr>
      <w:r w:rsidRPr="0098400E">
        <w:rPr>
          <w:b/>
        </w:rPr>
        <w:t>Results:</w:t>
      </w:r>
      <w:r>
        <w:t xml:space="preserve"> </w:t>
      </w:r>
      <w:r w:rsidRPr="002445DC">
        <w:t>Radiologic evaluation was performed according to criteria described by Sarmiento and modified by Lidström. Results revealed excellent in 12 (%46.15) patients, good in 11 (%42.30) patients, and fair in 3 (%11.55) patients. No patient had poor result. Functional scores were assessed according to Gartland-Werley classification and modified by Sarmiento. Results revealed excellent in 14 (%56 patients), good in 8 (%32) patients and moderate in 3 (%12) patients.</w:t>
      </w:r>
    </w:p>
    <w:p w:rsidR="00C93394" w:rsidRPr="002445DC" w:rsidRDefault="00C93394" w:rsidP="00C93394">
      <w:pPr>
        <w:pStyle w:val="Balk3"/>
        <w:spacing w:line="480" w:lineRule="auto"/>
        <w:ind w:firstLine="0"/>
        <w:rPr>
          <w:b w:val="0"/>
        </w:rPr>
      </w:pPr>
      <w:r w:rsidRPr="006D15B1">
        <w:lastRenderedPageBreak/>
        <w:t>Conclusion</w:t>
      </w:r>
      <w:r>
        <w:t xml:space="preserve">: </w:t>
      </w:r>
      <w:r w:rsidRPr="002445DC">
        <w:rPr>
          <w:b w:val="0"/>
        </w:rPr>
        <w:t xml:space="preserve">Use </w:t>
      </w:r>
      <w:r>
        <w:rPr>
          <w:b w:val="0"/>
        </w:rPr>
        <w:t xml:space="preserve">of Pennig dynamic wrist fixator </w:t>
      </w:r>
      <w:r w:rsidRPr="002445DC">
        <w:rPr>
          <w:b w:val="0"/>
        </w:rPr>
        <w:t>in the treatment of unstable distal radius fractures has advantages such as; ease of use, minimal surgical trauma, allowing early rehabilitation, and early return to daily activities as well as increased anatomical and functional results.</w:t>
      </w:r>
    </w:p>
    <w:p w:rsidR="003C0B29" w:rsidRDefault="00C93394" w:rsidP="00D7445D">
      <w:pPr>
        <w:spacing w:before="120" w:line="480" w:lineRule="auto"/>
        <w:jc w:val="both"/>
        <w:rPr>
          <w:color w:val="000000" w:themeColor="text1"/>
          <w:lang w:val="en-US"/>
        </w:rPr>
      </w:pPr>
      <w:r w:rsidRPr="006D15B1">
        <w:rPr>
          <w:b/>
          <w:color w:val="000000" w:themeColor="text1"/>
          <w:lang w:val="en-US"/>
        </w:rPr>
        <w:t>Keywords:</w:t>
      </w:r>
      <w:r>
        <w:rPr>
          <w:color w:val="000000" w:themeColor="text1"/>
          <w:lang w:val="en-US"/>
        </w:rPr>
        <w:t xml:space="preserve"> Distal radius f</w:t>
      </w:r>
      <w:r w:rsidRPr="006D15B1">
        <w:rPr>
          <w:color w:val="000000" w:themeColor="text1"/>
          <w:lang w:val="en-US"/>
        </w:rPr>
        <w:t xml:space="preserve">racture, unstable fracture, dynamic fixator </w:t>
      </w:r>
    </w:p>
    <w:p w:rsidR="00DF3F63" w:rsidRDefault="00DF3F63" w:rsidP="00D7445D">
      <w:pPr>
        <w:spacing w:before="120" w:line="480" w:lineRule="auto"/>
        <w:jc w:val="both"/>
        <w:rPr>
          <w:color w:val="000000" w:themeColor="text1"/>
          <w:lang w:val="en-US"/>
        </w:rPr>
      </w:pPr>
      <w:r w:rsidRPr="00CB6E9E">
        <w:rPr>
          <w:noProof/>
        </w:rPr>
        <w:drawing>
          <wp:inline distT="0" distB="0" distL="0" distR="0" wp14:anchorId="25B7EE83" wp14:editId="1C45DE8D">
            <wp:extent cx="5760720" cy="2158365"/>
            <wp:effectExtent l="0" t="0" r="0" b="0"/>
            <wp:docPr id="18" name="Resim 18" descr="C:\Users\Adnan\Desktop\Resi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nan\Desktop\Resim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2158365"/>
                    </a:xfrm>
                    <a:prstGeom prst="rect">
                      <a:avLst/>
                    </a:prstGeom>
                    <a:noFill/>
                    <a:ln>
                      <a:noFill/>
                    </a:ln>
                  </pic:spPr>
                </pic:pic>
              </a:graphicData>
            </a:graphic>
          </wp:inline>
        </w:drawing>
      </w:r>
    </w:p>
    <w:p w:rsidR="00DF3F63" w:rsidRPr="00F14A22" w:rsidRDefault="008033BF" w:rsidP="00DF3F63">
      <w:pPr>
        <w:tabs>
          <w:tab w:val="left" w:pos="2834"/>
        </w:tabs>
      </w:pPr>
      <w:r>
        <w:t>Figur</w:t>
      </w:r>
      <w:r w:rsidR="00DF3F63" w:rsidRPr="00F14A22">
        <w:t xml:space="preserve">-1: </w:t>
      </w:r>
      <w:r w:rsidR="00DF3F63" w:rsidRPr="00F14A22">
        <w:rPr>
          <w:color w:val="000000"/>
        </w:rPr>
        <w:t>AO: C2, Frykman: F8,</w:t>
      </w:r>
      <w:r w:rsidR="00F332D8">
        <w:rPr>
          <w:color w:val="000000"/>
        </w:rPr>
        <w:t>functional and radiographic results of 53-year old female patient with radius distal fracture.</w:t>
      </w:r>
      <w:r w:rsidR="00DF3F63" w:rsidRPr="00F14A22">
        <w:rPr>
          <w:color w:val="000000"/>
        </w:rPr>
        <w:t xml:space="preserve"> </w:t>
      </w:r>
    </w:p>
    <w:p w:rsidR="00940602" w:rsidRPr="00940602" w:rsidRDefault="00940602" w:rsidP="00D7445D">
      <w:pPr>
        <w:spacing w:before="120" w:line="480" w:lineRule="auto"/>
        <w:jc w:val="both"/>
        <w:rPr>
          <w:b/>
          <w:color w:val="000000" w:themeColor="text1"/>
          <w:lang w:val="en-US"/>
        </w:rPr>
      </w:pPr>
      <w:r>
        <w:rPr>
          <w:b/>
          <w:color w:val="000000" w:themeColor="text1"/>
          <w:lang w:val="en-US"/>
        </w:rPr>
        <w:t>Refere</w:t>
      </w:r>
      <w:r w:rsidRPr="00940602">
        <w:rPr>
          <w:b/>
          <w:color w:val="000000" w:themeColor="text1"/>
          <w:lang w:val="en-US"/>
        </w:rPr>
        <w:t>nce</w:t>
      </w:r>
      <w:r>
        <w:rPr>
          <w:b/>
          <w:color w:val="000000" w:themeColor="text1"/>
          <w:lang w:val="en-US"/>
        </w:rPr>
        <w:t>s</w:t>
      </w:r>
      <w:r w:rsidRPr="00940602">
        <w:rPr>
          <w:b/>
          <w:color w:val="000000" w:themeColor="text1"/>
          <w:lang w:val="en-US"/>
        </w:rPr>
        <w:t>:</w:t>
      </w:r>
    </w:p>
    <w:p w:rsidR="0098400E" w:rsidRPr="00940602" w:rsidRDefault="00A873FB" w:rsidP="00940602">
      <w:pPr>
        <w:pStyle w:val="ListeParagraf"/>
        <w:numPr>
          <w:ilvl w:val="0"/>
          <w:numId w:val="1"/>
        </w:numPr>
        <w:spacing w:line="360" w:lineRule="auto"/>
        <w:rPr>
          <w:sz w:val="22"/>
          <w:szCs w:val="22"/>
        </w:rPr>
      </w:pPr>
      <w:r>
        <w:rPr>
          <w:sz w:val="22"/>
          <w:szCs w:val="22"/>
        </w:rPr>
        <w:t xml:space="preserve">Kapoor H, Agarwal A, </w:t>
      </w:r>
      <w:bookmarkStart w:id="0" w:name="_GoBack"/>
      <w:bookmarkEnd w:id="0"/>
      <w:r w:rsidR="0098400E" w:rsidRPr="00940602">
        <w:rPr>
          <w:sz w:val="22"/>
          <w:szCs w:val="22"/>
        </w:rPr>
        <w:t>Dhaon BK. Displaced intra-articular fractures of distal radius: a comparative evaluation of results following closed reduction, external fixation and open reduction with internal fixation. Injury 2000; 31(2): 75-9.</w:t>
      </w:r>
    </w:p>
    <w:p w:rsidR="0098400E" w:rsidRPr="00940602" w:rsidRDefault="0098400E" w:rsidP="00940602">
      <w:pPr>
        <w:pStyle w:val="ListeParagraf"/>
        <w:numPr>
          <w:ilvl w:val="0"/>
          <w:numId w:val="1"/>
        </w:numPr>
        <w:spacing w:line="360" w:lineRule="auto"/>
        <w:rPr>
          <w:sz w:val="22"/>
          <w:szCs w:val="22"/>
        </w:rPr>
      </w:pPr>
      <w:r w:rsidRPr="00940602">
        <w:rPr>
          <w:sz w:val="22"/>
          <w:szCs w:val="22"/>
        </w:rPr>
        <w:t>Klein W, Dee W, Rieger H, Neumann H , Joosten U. Results of transarticular fixator application in distal radius fractures. Injury 2000; 31 Suppl 1:71-7.</w:t>
      </w:r>
    </w:p>
    <w:p w:rsidR="00940602" w:rsidRPr="00940602" w:rsidRDefault="00940602" w:rsidP="00940602">
      <w:pPr>
        <w:pStyle w:val="ListeParagraf"/>
        <w:numPr>
          <w:ilvl w:val="0"/>
          <w:numId w:val="1"/>
        </w:numPr>
        <w:spacing w:line="360" w:lineRule="auto"/>
        <w:rPr>
          <w:sz w:val="22"/>
          <w:szCs w:val="22"/>
        </w:rPr>
      </w:pPr>
      <w:r w:rsidRPr="00940602">
        <w:rPr>
          <w:sz w:val="22"/>
          <w:szCs w:val="22"/>
        </w:rPr>
        <w:t>Werber KD, Raeder F, Brauer RBWeiss S. External fixation of distal radial fractures: four compared with five pins: a randomized prospective study. J Bone Joint Surg Am 2003; 85-A(4): 660-6.</w:t>
      </w:r>
    </w:p>
    <w:p w:rsidR="00940602" w:rsidRPr="00940602" w:rsidRDefault="00940602" w:rsidP="00940602">
      <w:pPr>
        <w:pStyle w:val="ListeParagraf"/>
        <w:numPr>
          <w:ilvl w:val="0"/>
          <w:numId w:val="1"/>
        </w:numPr>
        <w:spacing w:line="360" w:lineRule="auto"/>
        <w:rPr>
          <w:sz w:val="22"/>
          <w:szCs w:val="22"/>
        </w:rPr>
      </w:pPr>
      <w:r w:rsidRPr="00940602">
        <w:rPr>
          <w:sz w:val="22"/>
          <w:szCs w:val="22"/>
        </w:rPr>
        <w:t>Markiewitz AD, Gellman H. Five-pin external fixation and early range of motion for distal radius fractures. Orthop Clin North Am 2001; 32(2): 329-35.</w:t>
      </w:r>
    </w:p>
    <w:p w:rsidR="00DF3F63" w:rsidRPr="00A873FB" w:rsidRDefault="00940602" w:rsidP="00DF3F63">
      <w:pPr>
        <w:pStyle w:val="ListeParagraf"/>
        <w:numPr>
          <w:ilvl w:val="0"/>
          <w:numId w:val="1"/>
        </w:numPr>
        <w:spacing w:line="360" w:lineRule="auto"/>
        <w:rPr>
          <w:sz w:val="22"/>
          <w:szCs w:val="22"/>
        </w:rPr>
      </w:pPr>
      <w:r w:rsidRPr="00A873FB">
        <w:rPr>
          <w:sz w:val="22"/>
          <w:szCs w:val="22"/>
        </w:rPr>
        <w:t>Ring D: Intra articular fractures of the distal radius. J Hand Surg Am 2002; 2(2): 60-77.</w:t>
      </w:r>
    </w:p>
    <w:sectPr w:rsidR="00DF3F63" w:rsidRPr="00A87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216951"/>
    <w:multiLevelType w:val="hybridMultilevel"/>
    <w:tmpl w:val="0D0604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5E5"/>
    <w:rsid w:val="0003151F"/>
    <w:rsid w:val="002C0603"/>
    <w:rsid w:val="00381B14"/>
    <w:rsid w:val="003C0B29"/>
    <w:rsid w:val="004555E5"/>
    <w:rsid w:val="004835CA"/>
    <w:rsid w:val="007A1106"/>
    <w:rsid w:val="007B0951"/>
    <w:rsid w:val="007F5920"/>
    <w:rsid w:val="008033BF"/>
    <w:rsid w:val="0084539A"/>
    <w:rsid w:val="00940602"/>
    <w:rsid w:val="0098400E"/>
    <w:rsid w:val="009F2B2B"/>
    <w:rsid w:val="00A873FB"/>
    <w:rsid w:val="00C621FE"/>
    <w:rsid w:val="00C93394"/>
    <w:rsid w:val="00CC17CB"/>
    <w:rsid w:val="00D7445D"/>
    <w:rsid w:val="00DF3F63"/>
    <w:rsid w:val="00EE5329"/>
    <w:rsid w:val="00F332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94"/>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C93394"/>
    <w:pPr>
      <w:spacing w:before="120" w:line="360" w:lineRule="auto"/>
      <w:jc w:val="both"/>
      <w:outlineLvl w:val="1"/>
    </w:pPr>
    <w:rPr>
      <w:b/>
      <w:bCs/>
    </w:rPr>
  </w:style>
  <w:style w:type="paragraph" w:styleId="Balk3">
    <w:name w:val="heading 3"/>
    <w:basedOn w:val="Normal"/>
    <w:next w:val="Normal"/>
    <w:link w:val="Balk3Char"/>
    <w:uiPriority w:val="9"/>
    <w:unhideWhenUsed/>
    <w:qFormat/>
    <w:rsid w:val="00C93394"/>
    <w:pPr>
      <w:keepNext/>
      <w:keepLines/>
      <w:spacing w:before="40" w:line="360" w:lineRule="auto"/>
      <w:ind w:firstLine="708"/>
      <w:outlineLvl w:val="2"/>
    </w:pPr>
    <w:rPr>
      <w:rFonts w:eastAsiaTheme="majorEastAsia"/>
      <w:b/>
      <w:color w:val="000000" w:themeColor="text1"/>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C93394"/>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C93394"/>
    <w:rPr>
      <w:rFonts w:ascii="Times New Roman" w:eastAsiaTheme="majorEastAsia" w:hAnsi="Times New Roman" w:cs="Times New Roman"/>
      <w:b/>
      <w:color w:val="000000" w:themeColor="text1"/>
      <w:sz w:val="24"/>
      <w:szCs w:val="24"/>
      <w:lang w:val="en-US" w:eastAsia="tr-TR"/>
    </w:rPr>
  </w:style>
  <w:style w:type="paragraph" w:styleId="ListeParagraf">
    <w:name w:val="List Paragraph"/>
    <w:basedOn w:val="Normal"/>
    <w:uiPriority w:val="34"/>
    <w:qFormat/>
    <w:rsid w:val="00940602"/>
    <w:pPr>
      <w:ind w:left="720"/>
      <w:contextualSpacing/>
    </w:pPr>
  </w:style>
  <w:style w:type="paragraph" w:styleId="BalonMetni">
    <w:name w:val="Balloon Text"/>
    <w:basedOn w:val="Normal"/>
    <w:link w:val="BalonMetniChar"/>
    <w:uiPriority w:val="99"/>
    <w:semiHidden/>
    <w:unhideWhenUsed/>
    <w:rsid w:val="00DF3F63"/>
    <w:rPr>
      <w:rFonts w:ascii="Tahoma" w:hAnsi="Tahoma" w:cs="Tahoma"/>
      <w:sz w:val="16"/>
      <w:szCs w:val="16"/>
    </w:rPr>
  </w:style>
  <w:style w:type="character" w:customStyle="1" w:styleId="BalonMetniChar">
    <w:name w:val="Balon Metni Char"/>
    <w:basedOn w:val="VarsaylanParagrafYazTipi"/>
    <w:link w:val="BalonMetni"/>
    <w:uiPriority w:val="99"/>
    <w:semiHidden/>
    <w:rsid w:val="00DF3F63"/>
    <w:rPr>
      <w:rFonts w:ascii="Tahoma" w:eastAsia="Times New Roman" w:hAnsi="Tahoma" w:cs="Tahoma"/>
      <w:sz w:val="16"/>
      <w:szCs w:val="16"/>
      <w:lang w:eastAsia="tr-TR"/>
    </w:rPr>
  </w:style>
  <w:style w:type="character" w:styleId="Kpr">
    <w:name w:val="Hyperlink"/>
    <w:basedOn w:val="VarsaylanParagrafYazTipi"/>
    <w:uiPriority w:val="99"/>
    <w:unhideWhenUsed/>
    <w:rsid w:val="00DF3F63"/>
    <w:rPr>
      <w:color w:val="0000FF" w:themeColor="hyperlink"/>
      <w:u w:val="single"/>
    </w:rPr>
  </w:style>
  <w:style w:type="paragraph" w:customStyle="1" w:styleId="ContactDetails">
    <w:name w:val="Contact Details"/>
    <w:basedOn w:val="Normal"/>
    <w:rsid w:val="0084539A"/>
    <w:pPr>
      <w:spacing w:after="200" w:line="252" w:lineRule="auto"/>
    </w:pPr>
    <w:rPr>
      <w:rFonts w:ascii="Century Gothic" w:eastAsia="MS PGothic" w:hAnsi="Century Gothic"/>
      <w:color w:val="7F7F7F"/>
      <w:sz w:val="16"/>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94"/>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C93394"/>
    <w:pPr>
      <w:spacing w:before="120" w:line="360" w:lineRule="auto"/>
      <w:jc w:val="both"/>
      <w:outlineLvl w:val="1"/>
    </w:pPr>
    <w:rPr>
      <w:b/>
      <w:bCs/>
    </w:rPr>
  </w:style>
  <w:style w:type="paragraph" w:styleId="Balk3">
    <w:name w:val="heading 3"/>
    <w:basedOn w:val="Normal"/>
    <w:next w:val="Normal"/>
    <w:link w:val="Balk3Char"/>
    <w:uiPriority w:val="9"/>
    <w:unhideWhenUsed/>
    <w:qFormat/>
    <w:rsid w:val="00C93394"/>
    <w:pPr>
      <w:keepNext/>
      <w:keepLines/>
      <w:spacing w:before="40" w:line="360" w:lineRule="auto"/>
      <w:ind w:firstLine="708"/>
      <w:outlineLvl w:val="2"/>
    </w:pPr>
    <w:rPr>
      <w:rFonts w:eastAsiaTheme="majorEastAsia"/>
      <w:b/>
      <w:color w:val="000000" w:themeColor="text1"/>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C93394"/>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rsid w:val="00C93394"/>
    <w:rPr>
      <w:rFonts w:ascii="Times New Roman" w:eastAsiaTheme="majorEastAsia" w:hAnsi="Times New Roman" w:cs="Times New Roman"/>
      <w:b/>
      <w:color w:val="000000" w:themeColor="text1"/>
      <w:sz w:val="24"/>
      <w:szCs w:val="24"/>
      <w:lang w:val="en-US" w:eastAsia="tr-TR"/>
    </w:rPr>
  </w:style>
  <w:style w:type="paragraph" w:styleId="ListeParagraf">
    <w:name w:val="List Paragraph"/>
    <w:basedOn w:val="Normal"/>
    <w:uiPriority w:val="34"/>
    <w:qFormat/>
    <w:rsid w:val="00940602"/>
    <w:pPr>
      <w:ind w:left="720"/>
      <w:contextualSpacing/>
    </w:pPr>
  </w:style>
  <w:style w:type="paragraph" w:styleId="BalonMetni">
    <w:name w:val="Balloon Text"/>
    <w:basedOn w:val="Normal"/>
    <w:link w:val="BalonMetniChar"/>
    <w:uiPriority w:val="99"/>
    <w:semiHidden/>
    <w:unhideWhenUsed/>
    <w:rsid w:val="00DF3F63"/>
    <w:rPr>
      <w:rFonts w:ascii="Tahoma" w:hAnsi="Tahoma" w:cs="Tahoma"/>
      <w:sz w:val="16"/>
      <w:szCs w:val="16"/>
    </w:rPr>
  </w:style>
  <w:style w:type="character" w:customStyle="1" w:styleId="BalonMetniChar">
    <w:name w:val="Balon Metni Char"/>
    <w:basedOn w:val="VarsaylanParagrafYazTipi"/>
    <w:link w:val="BalonMetni"/>
    <w:uiPriority w:val="99"/>
    <w:semiHidden/>
    <w:rsid w:val="00DF3F63"/>
    <w:rPr>
      <w:rFonts w:ascii="Tahoma" w:eastAsia="Times New Roman" w:hAnsi="Tahoma" w:cs="Tahoma"/>
      <w:sz w:val="16"/>
      <w:szCs w:val="16"/>
      <w:lang w:eastAsia="tr-TR"/>
    </w:rPr>
  </w:style>
  <w:style w:type="character" w:styleId="Kpr">
    <w:name w:val="Hyperlink"/>
    <w:basedOn w:val="VarsaylanParagrafYazTipi"/>
    <w:uiPriority w:val="99"/>
    <w:unhideWhenUsed/>
    <w:rsid w:val="00DF3F63"/>
    <w:rPr>
      <w:color w:val="0000FF" w:themeColor="hyperlink"/>
      <w:u w:val="single"/>
    </w:rPr>
  </w:style>
  <w:style w:type="paragraph" w:customStyle="1" w:styleId="ContactDetails">
    <w:name w:val="Contact Details"/>
    <w:basedOn w:val="Normal"/>
    <w:rsid w:val="0084539A"/>
    <w:pPr>
      <w:spacing w:after="200" w:line="252" w:lineRule="auto"/>
    </w:pPr>
    <w:rPr>
      <w:rFonts w:ascii="Century Gothic" w:eastAsia="MS PGothic" w:hAnsi="Century Gothic"/>
      <w:color w:val="7F7F7F"/>
      <w:sz w:val="16"/>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444937">
      <w:bodyDiv w:val="1"/>
      <w:marLeft w:val="0"/>
      <w:marRight w:val="0"/>
      <w:marTop w:val="0"/>
      <w:marBottom w:val="0"/>
      <w:divBdr>
        <w:top w:val="none" w:sz="0" w:space="0" w:color="auto"/>
        <w:left w:val="none" w:sz="0" w:space="0" w:color="auto"/>
        <w:bottom w:val="none" w:sz="0" w:space="0" w:color="auto"/>
        <w:right w:val="none" w:sz="0" w:space="0" w:color="auto"/>
      </w:divBdr>
    </w:div>
    <w:div w:id="179386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2742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 KARA ( Ortopedi ve Travmatoloji )</dc:creator>
  <cp:lastModifiedBy>Adnan KARA ( Ortopedi ve Travmatoloji )</cp:lastModifiedBy>
  <cp:revision>2</cp:revision>
  <dcterms:created xsi:type="dcterms:W3CDTF">2018-04-30T09:13:00Z</dcterms:created>
  <dcterms:modified xsi:type="dcterms:W3CDTF">2018-04-30T09:13:00Z</dcterms:modified>
</cp:coreProperties>
</file>