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spacing w:before="170"/>
        <w:ind w:left="0" w:firstLine="0"/>
      </w:pPr>
      <w:r>
        <w:rPr>
          <w:rStyle w:val="None"/>
          <w:outline w:val="0"/>
          <w:color w:val="337ab7"/>
          <w:u w:color="337ab7"/>
          <w:rtl w:val="0"/>
          <w:lang w:val="en-US"/>
          <w14:textFill>
            <w14:solidFill>
              <w14:srgbClr w14:val="337AB7"/>
            </w14:solidFill>
          </w14:textFill>
        </w:rPr>
        <w:t>ICG with Firefly Fluorescence Imaging used in Robotic surgery for the identification of Vascularity, Ureter, Sentinel Lymph node &amp; CBD.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Dr.T.K.Rajesh (</w:t>
      </w:r>
      <w:r>
        <w:rPr>
          <w:rStyle w:val="None"/>
          <w:rFonts w:ascii="Arial" w:hAnsi="Arial"/>
          <w:rtl w:val="0"/>
          <w:lang w:val="en-US"/>
        </w:rPr>
        <w:t xml:space="preserve"> University Hospital of Plymouth &amp; </w:t>
      </w:r>
      <w:r>
        <w:rPr>
          <w:rStyle w:val="None"/>
          <w:rFonts w:ascii="Arial" w:hAnsi="Arial"/>
          <w:rtl w:val="0"/>
          <w:lang w:val="en-US"/>
        </w:rPr>
        <w:t xml:space="preserve">Gem hospital, Chennai) 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Dr.Pinak Das Gupta</w:t>
      </w:r>
      <w:r>
        <w:rPr>
          <w:rStyle w:val="None"/>
          <w:rFonts w:ascii="Arial" w:hAnsi="Arial"/>
          <w:rtl w:val="0"/>
          <w:lang w:val="en-US"/>
        </w:rPr>
        <w:t>(</w:t>
      </w:r>
      <w:r>
        <w:rPr>
          <w:rStyle w:val="None"/>
          <w:rFonts w:ascii="Arial" w:hAnsi="Arial"/>
          <w:rtl w:val="0"/>
          <w:lang w:val="en-US"/>
        </w:rPr>
        <w:t xml:space="preserve">Gem hospital, Chennai) </w:t>
      </w:r>
    </w:p>
    <w:p>
      <w:pPr>
        <w:pStyle w:val="Body Text"/>
        <w:spacing w:before="73" w:line="198" w:lineRule="exact"/>
        <w:ind w:left="100" w:right="5987" w:firstLine="0"/>
        <w:rPr>
          <w:rStyle w:val="None"/>
          <w:rFonts w:ascii="Arial" w:cs="Arial" w:hAnsi="Arial" w:eastAsia="Arial"/>
        </w:rPr>
      </w:pPr>
      <w:r>
        <w:rPr>
          <w:rStyle w:val="None"/>
          <w:rFonts w:ascii="Arial" w:hAnsi="Arial"/>
          <w:rtl w:val="0"/>
          <w:lang w:val="en-US"/>
        </w:rPr>
        <w:t>Dr.Venkat Akhilesh Thota</w:t>
      </w:r>
      <w:r>
        <w:rPr>
          <w:rStyle w:val="None"/>
          <w:rFonts w:ascii="Arial" w:hAnsi="Arial"/>
          <w:rtl w:val="0"/>
          <w:lang w:val="en-US"/>
        </w:rPr>
        <w:t xml:space="preserve"> (Chettinad Hospital and Research Institute, Chennai)</w:t>
      </w:r>
    </w:p>
    <w:p>
      <w:pPr>
        <w:pStyle w:val="Body Text"/>
        <w:spacing w:before="3"/>
        <w:rPr>
          <w:rStyle w:val="None"/>
          <w:rFonts w:ascii="Arial" w:cs="Arial" w:hAnsi="Arial" w:eastAsia="Arial"/>
          <w:sz w:val="21"/>
          <w:szCs w:val="21"/>
        </w:rPr>
      </w:pPr>
    </w:p>
    <w:p>
      <w:pPr>
        <w:pStyle w:val="Body"/>
        <w:rPr>
          <w:rStyle w:val="None"/>
          <w:rFonts w:ascii="Arial" w:cs="Arial" w:hAnsi="Arial" w:eastAsia="Arial"/>
        </w:rPr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  <w:r>
        <w:rPr>
          <w:rStyle w:val="None"/>
          <w:rFonts w:ascii="Arial" w:cs="Arial" w:hAnsi="Arial" w:eastAsia="Arial"/>
        </w:rPr>
      </w:r>
    </w:p>
    <w:p>
      <w:pPr>
        <w:pStyle w:val="Heading 3"/>
        <w:spacing w:before="147"/>
        <w:jc w:val="both"/>
      </w:pPr>
      <w:r>
        <w:rPr>
          <w:rStyle w:val="None"/>
          <w:outline w:val="0"/>
          <w:color w:val="bf5a14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>Abstract (300 word limit)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TITLE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ICG with Firefly Fluorescence Imaging used in Robotic surgery for the identification of Vascularity, Ureter, Sentinel Lymph node &amp; CBD.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AIMS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Certain key structures in a Colorectal cancer resection would be difficult to identify and are often missed. This study aims To evaluate the potential application of the use of Indocyanine green dye along with Firefly</w:t>
      </w:r>
      <w:r>
        <w:rPr>
          <w:rStyle w:val="None"/>
          <w:rtl w:val="0"/>
          <w:lang w:val="en-US"/>
        </w:rPr>
        <w:t xml:space="preserve">® </w:t>
      </w:r>
      <w:r>
        <w:rPr>
          <w:rStyle w:val="None"/>
          <w:rtl w:val="0"/>
          <w:lang w:val="en-US"/>
        </w:rPr>
        <w:t xml:space="preserve">Fluorescence Imaging technology in Robotic surgery. 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METHODS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ICG and Firefly technology was applied in a series of colorectal cancer surgeries operated using the Da Vinci Robot and evaluated the potential application in identifying and demarcating internal tissues and organs.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RESULTS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The use of ICG and Firefly technology-enabled successful identification of Vascularity, Ureters, Sentinel lymph nodes &amp; Common Bile Duct (CBD) leading to lower blood loss, faster operative time and better dissection of the sentinel nodes.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CONCLUSION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The use of ICG and Fireflytechnology during Colorectal cancer resection has the potential to more accurately and more frequently identify the key tissues during dissection. This would be a valuable tool for the operating surgeon sparing intraoperative time.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KEY STATEMENT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  <w:r>
        <w:rPr>
          <w:rStyle w:val="None"/>
          <w:rtl w:val="0"/>
          <w:lang w:val="en-US"/>
        </w:rPr>
        <w:t>The operating surgeon should routinely consider the use of ICG and Fireflytechnology for Robotic colorectal cancer resections.</w:t>
      </w:r>
    </w:p>
    <w:p>
      <w:pPr>
        <w:pStyle w:val="Body Text"/>
        <w:spacing w:before="90" w:line="280" w:lineRule="auto"/>
        <w:ind w:left="100" w:firstLine="0"/>
        <w:jc w:val="both"/>
        <w:rPr>
          <w:rStyle w:val="None"/>
        </w:rPr>
      </w:pPr>
    </w:p>
    <w:p>
      <w:pPr>
        <w:pStyle w:val="Body Text"/>
        <w:spacing w:before="90" w:line="280" w:lineRule="auto"/>
        <w:ind w:left="100" w:firstLine="0"/>
        <w:jc w:val="both"/>
      </w:pPr>
      <w:r>
        <w:rPr>
          <w:rStyle w:val="None"/>
          <w:outline w:val="0"/>
          <w:color w:val="bf5a14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>Image</w:t>
      </w:r>
    </w:p>
    <w:p>
      <w:pPr>
        <w:pStyle w:val="Body Text"/>
        <w:spacing w:before="2"/>
        <w:rPr>
          <w:rStyle w:val="None"/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Body"/>
        <w:spacing w:line="204" w:lineRule="exact"/>
        <w:rPr>
          <w:rStyle w:val="None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None"/>
          <w:rFonts w:ascii="Arial" w:cs="Arial" w:hAnsi="Arial" w:eastAsia="Arial"/>
          <w:b w:val="1"/>
          <w:bCs w:val="1"/>
          <w:outline w:val="0"/>
          <w:color w:val="bf5a14"/>
          <w:sz w:val="20"/>
          <w:szCs w:val="20"/>
          <w:u w:color="bf5a14"/>
          <w14:textFill>
            <w14:solidFill>
              <w14:srgbClr w14:val="BF5A14"/>
            </w14:solidFill>
          </w14:textFill>
        </w:rPr>
        <w:br w:type="textWrapping"/>
      </w:r>
      <w:r>
        <w:rPr>
          <w:rStyle w:val="None"/>
          <w:rFonts w:ascii="Arial" w:hAnsi="Arial"/>
          <w:b w:val="1"/>
          <w:bCs w:val="1"/>
          <w:outline w:val="0"/>
          <w:color w:val="bf5a14"/>
          <w:sz w:val="20"/>
          <w:szCs w:val="20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>Recent Publications (minimum 5)</w:t>
      </w:r>
    </w:p>
    <w:p>
      <w:pPr>
        <w:pStyle w:val="Default"/>
        <w:bidi w:val="0"/>
        <w:spacing w:before="0"/>
        <w:ind w:left="0" w:right="0" w:firstLine="0"/>
        <w:jc w:val="left"/>
        <w:rPr>
          <w:rStyle w:val="None"/>
          <w:rFonts w:ascii="Calibri" w:cs="Calibri" w:hAnsi="Calibri" w:eastAsia="Calibri"/>
          <w:b w:val="1"/>
          <w:bCs w:val="1"/>
          <w:outline w:val="0"/>
          <w:color w:val="212121"/>
          <w:sz w:val="18"/>
          <w:szCs w:val="18"/>
          <w:shd w:val="clear" w:color="auto" w:fill="ffffff"/>
          <w:rtl w:val="0"/>
          <w14:textFill>
            <w14:solidFill>
              <w14:srgbClr w14:val="212121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Dickson EA, Penna M, Cunningham C, et al. Carbon Dioxide Embolism Associated With Transanal Total Mesorectal Excision Surgery: A Report From the International Registries.</w:t>
      </w:r>
      <w:r>
        <w:rPr>
          <w:sz w:val="18"/>
          <w:szCs w:val="18"/>
          <w:rtl w:val="0"/>
          <w:lang w:val="en-US"/>
        </w:rPr>
        <w:t> 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>Dis Colon Rectum</w:t>
      </w:r>
      <w:r>
        <w:rPr>
          <w:sz w:val="18"/>
          <w:szCs w:val="18"/>
          <w:rtl w:val="0"/>
          <w:lang w:val="en-US"/>
        </w:rPr>
        <w:t>. 2019;62(7):794-801. doi:10.1097/DCR.0000000000001410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Mahendran B, Bracey T, Kochupapy RT. A Midgut Duplication Cyst Lined by Respiratory Epithelium.</w:t>
      </w:r>
      <w:r>
        <w:rPr>
          <w:sz w:val="18"/>
          <w:szCs w:val="18"/>
          <w:rtl w:val="0"/>
          <w:lang w:val="en-US"/>
        </w:rPr>
        <w:t> </w:t>
      </w:r>
      <w:r>
        <w:rPr>
          <w:rStyle w:val="None"/>
          <w:i w:val="1"/>
          <w:iCs w:val="1"/>
          <w:sz w:val="18"/>
          <w:szCs w:val="18"/>
          <w:rtl w:val="0"/>
          <w:lang w:val="en-US"/>
        </w:rPr>
        <w:t>Case Rep Surg</w:t>
      </w:r>
      <w:r>
        <w:rPr>
          <w:sz w:val="18"/>
          <w:szCs w:val="18"/>
          <w:rtl w:val="0"/>
          <w:lang w:val="en-US"/>
        </w:rPr>
        <w:t>. 2018;2018:2678782. Published 2018 Mar 12. doi:10.1155/2018/2678782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Kochupapy RT, Ranganathan G, Dias S, Shanahan D. Aetiology of femoral hernias revisited: bilateral femoral hernia in a young male (two cases). Ann R Coll Surg Engl. 2013 Jan;95(1):e14-6. doi: 10.1308/003588413x13511609955733. PMID: 23317716; PMCID: PMC3964665.</w:t>
      </w:r>
    </w:p>
    <w:p>
      <w:pPr>
        <w:pStyle w:val="List Paragraph"/>
        <w:numPr>
          <w:ilvl w:val="0"/>
          <w:numId w:val="2"/>
        </w:numPr>
        <w:bidi w:val="0"/>
        <w:spacing w:line="216" w:lineRule="exact"/>
        <w:ind w:right="137"/>
        <w:jc w:val="both"/>
        <w:rPr>
          <w:sz w:val="18"/>
          <w:szCs w:val="18"/>
          <w:rtl w:val="0"/>
          <w:lang w:val="en-US"/>
        </w:rPr>
      </w:pPr>
      <w:r>
        <w:rPr>
          <w:sz w:val="18"/>
          <w:szCs w:val="18"/>
          <w:rtl w:val="0"/>
          <w:lang w:val="en-US"/>
        </w:rPr>
        <w:t>Francis N, Penna M, Carter F, Mortensen NJ, Hompes R; ACPGBI Pilot National TaTME Training Initiative Steering Group. Development and early outcomes of the national training initiative for transanal total mesorectal excision in the UK.</w:t>
      </w:r>
      <w:r>
        <w:rPr>
          <w:sz w:val="18"/>
          <w:szCs w:val="18"/>
          <w:rtl w:val="0"/>
          <w:lang w:val="en-US"/>
        </w:rPr>
        <w:t> </w:t>
      </w:r>
      <w:r>
        <w:rPr>
          <w:sz w:val="18"/>
          <w:szCs w:val="18"/>
          <w:rtl w:val="0"/>
          <w:lang w:val="en-US"/>
        </w:rPr>
        <w:t>Colorectal Dis. 2020;22(7):756-767. doi:10.1111/codi.15022</w:t>
      </w:r>
    </w:p>
    <w:p>
      <w:pPr>
        <w:pStyle w:val="Body"/>
        <w:spacing w:line="200" w:lineRule="exact"/>
        <w:jc w:val="both"/>
        <w:rPr>
          <w:rStyle w:val="None"/>
          <w:rFonts w:ascii="Calibri" w:cs="Calibri" w:hAnsi="Calibri" w:eastAsia="Calibri"/>
        </w:rPr>
        <w:sectPr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rStyle w:val="None"/>
          <w:rFonts w:ascii="Calibri" w:hAnsi="Calibri"/>
          <w:rtl w:val="0"/>
        </w:rPr>
        <w:t xml:space="preserve">   </w:t>
      </w:r>
      <w:r>
        <w:rPr>
          <w:rStyle w:val="None"/>
          <w:rFonts w:ascii="Calibri" w:cs="Calibri" w:hAnsi="Calibri" w:eastAsia="Calibri"/>
        </w:rPr>
      </w:r>
    </w:p>
    <w:p>
      <w:pPr>
        <w:pStyle w:val="Body Text"/>
        <w:rPr>
          <w:rStyle w:val="None"/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Style w:val="None"/>
          <w:rFonts w:ascii="Calibri" w:cs="Calibri" w:hAnsi="Calibri" w:eastAsia="Calibri"/>
          <w:sz w:val="4"/>
          <w:szCs w:val="4"/>
        </w:rPr>
      </w:pPr>
      <w:r>
        <w:rPr>
          <w:rStyle w:val="None"/>
          <w:rFonts w:ascii="Calibri" w:cs="Calibri" w:hAnsi="Calibri" w:eastAsia="Calibri"/>
          <w:sz w:val="4"/>
          <w:szCs w:val="4"/>
        </w:rPr>
        <mc:AlternateContent>
          <mc:Choice Requires="wps">
            <w:drawing xmlns:a="http://schemas.openxmlformats.org/drawingml/2006/main">
              <wp:inline distT="0" distB="0" distL="0" distR="0">
                <wp:extent cx="3950335" cy="0"/>
                <wp:effectExtent l="0" t="0" r="0" b="0"/>
                <wp:docPr id="1073741830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"/>
        <w:spacing w:before="92"/>
        <w:ind w:right="4234"/>
        <w:rPr>
          <w:rStyle w:val="None"/>
          <w:rFonts w:ascii="Arial" w:cs="Arial" w:hAnsi="Arial" w:eastAsia="Arial"/>
        </w:rPr>
      </w:pPr>
      <w:r>
        <w:rPr>
          <w:rStyle w:val="None"/>
          <w:rtl w:val="0"/>
        </w:rPr>
        <w:t xml:space="preserve">              </w:t>
      </w:r>
      <w:r>
        <w:rPr>
          <w:rStyle w:val="None"/>
          <w:rFonts w:ascii="Arial" w:hAnsi="Arial"/>
          <w:outline w:val="0"/>
          <w:color w:val="bf5a14"/>
          <w:u w:color="bf5a14"/>
          <w:rtl w:val="0"/>
          <w:lang w:val="en-US"/>
          <w14:textFill>
            <w14:solidFill>
              <w14:srgbClr w14:val="BF5A14"/>
            </w14:solidFill>
          </w14:textFill>
        </w:rPr>
        <w:t>Biography (150 word limit)</w:t>
      </w:r>
    </w:p>
    <w:p>
      <w:pPr>
        <w:pStyle w:val="Body"/>
        <w:spacing w:before="41" w:line="154" w:lineRule="exact"/>
        <w:ind w:left="213" w:right="231" w:firstLine="0"/>
        <w:jc w:val="both"/>
        <w:rPr>
          <w:rStyle w:val="None"/>
          <w:rFonts w:ascii="Arial" w:cs="Arial" w:hAnsi="Arial" w:eastAsia="Arial"/>
          <w:sz w:val="14"/>
          <w:szCs w:val="14"/>
        </w:rPr>
      </w:pPr>
      <w:r>
        <w:rPr>
          <w:rStyle w:val="None"/>
          <w:rFonts w:ascii="Arial" w:hAnsi="Arial"/>
          <w:rtl w:val="0"/>
          <w:lang w:val="en-US"/>
        </w:rPr>
        <w:t xml:space="preserve">Dr T K Rajesh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 xml:space="preserve">Since 1994 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>has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 xml:space="preserve"> been working in general surgery and have completed FRCS (Gen Sur/Colorectal) and EBSQ (Coloproctology).</w:t>
      </w:r>
      <w:r>
        <w:rPr>
          <w:rStyle w:val="None"/>
          <w:rFonts w:ascii="Arial" w:hAnsi="Arial"/>
          <w:sz w:val="14"/>
          <w:szCs w:val="14"/>
          <w:rtl w:val="0"/>
          <w:lang w:val="en-US"/>
        </w:rPr>
        <w:t xml:space="preserve"> He is a Robotic and Colorectal Surgeon. </w:t>
      </w:r>
      <w:r>
        <w:rPr>
          <w:rStyle w:val="None"/>
          <w:rFonts w:ascii="Arial" w:hAnsi="Arial"/>
          <w:sz w:val="14"/>
          <w:szCs w:val="14"/>
          <w:rtl w:val="0"/>
        </w:rPr>
        <w:t>Email: vtkr0705@gmail.com</w:t>
      </w:r>
    </w:p>
    <w:p>
      <w:pPr>
        <w:pStyle w:val="Body Text"/>
        <w:spacing w:before="2"/>
        <w:rPr>
          <w:rStyle w:val="None"/>
          <w:rFonts w:ascii="Arial" w:cs="Arial" w:hAnsi="Arial" w:eastAsia="Arial"/>
          <w:sz w:val="19"/>
          <w:szCs w:val="19"/>
        </w:rPr>
      </w:pPr>
      <w:r>
        <w:rPr>
          <w:rStyle w:val="None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1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Style w:val="None"/>
          <w:rFonts w:ascii="Arial" w:cs="Arial" w:hAnsi="Arial" w:eastAsia="Arial"/>
          <w:sz w:val="20"/>
          <w:szCs w:val="20"/>
        </w:rPr>
      </w:pPr>
    </w:p>
    <w:p>
      <w:pPr>
        <w:pStyle w:val="Body Text"/>
        <w:rPr>
          <w:rStyle w:val="None"/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7"/>
        <w:rPr>
          <w:rStyle w:val="None"/>
          <w:rFonts w:ascii="Arial" w:cs="Arial" w:hAnsi="Arial" w:eastAsia="Arial"/>
          <w:sz w:val="29"/>
          <w:szCs w:val="29"/>
        </w:rPr>
      </w:pPr>
    </w:p>
    <w:p>
      <w:pPr>
        <w:pStyle w:val="Body"/>
        <w:spacing w:before="39"/>
        <w:ind w:left="100" w:firstLine="0"/>
        <w:rPr>
          <w:rStyle w:val="None"/>
          <w:rFonts w:ascii="Cambria Math" w:cs="Cambria Math" w:hAnsi="Cambria Math" w:eastAsia="Cambria Math"/>
          <w:sz w:val="20"/>
          <w:szCs w:val="20"/>
        </w:rPr>
      </w:pPr>
      <w:r>
        <w:rPr>
          <w:rStyle w:val="None"/>
          <w:rFonts w:ascii="Cambria Math" w:hAnsi="Cambria Math"/>
          <w:sz w:val="20"/>
          <w:szCs w:val="20"/>
          <w:rtl w:val="0"/>
          <w:lang w:val="en-US"/>
        </w:rPr>
        <w:t>Notes/Comments:</w:t>
      </w:r>
    </w:p>
    <w:p>
      <w:pPr>
        <w:pStyle w:val="Body"/>
      </w:pPr>
      <w:r>
        <w:rPr>
          <w:rStyle w:val="None"/>
          <w:rFonts w:ascii="Cambria Math" w:hAnsi="Cambria Math"/>
          <w:sz w:val="20"/>
          <w:szCs w:val="20"/>
          <w:rtl w:val="0"/>
        </w:rPr>
        <w:t>https://www.linkedin.com/in/drtkrajesh/</w:t>
      </w:r>
      <w:r>
        <w:rPr>
          <w:rStyle w:val="None"/>
          <w:rFonts w:ascii="Cambria Math" w:cs="Cambria Math" w:hAnsi="Cambria Math" w:eastAsia="Cambria Math"/>
          <w:sz w:val="20"/>
          <w:szCs w:val="20"/>
        </w:rPr>
      </w:r>
    </w:p>
    <w:sectPr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Corbel">
    <w:charset w:val="00"/>
    <w:family w:val="roman"/>
    <w:pitch w:val="default"/>
  </w:font>
  <w:font w:name="Impact">
    <w:charset w:val="00"/>
    <w:family w:val="roman"/>
    <w:pitch w:val="default"/>
  </w:font>
  <w:font w:name="Cambria Math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25" name="officeArt object" descr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outline w:val="0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rPr>
                              <w:rStyle w:val="Hyperlink.0"/>
                            </w:rPr>
                            <w:fldChar w:fldCharType="begin" w:fldLock="0"/>
                          </w:r>
                          <w:r>
                            <w:rPr>
                              <w:rStyle w:val="Hyperlink.0"/>
                            </w:rPr>
                            <w:instrText xml:space="preserve"> HYPERLINK "http://dx.doi.org/10.4172/2167-0846.C1.006"</w:instrText>
                          </w:r>
                          <w:r>
                            <w:rPr>
                              <w:rStyle w:val="Hyperlink.0"/>
                            </w:rPr>
                            <w:fldChar w:fldCharType="separate" w:fldLock="0"/>
                          </w:r>
                          <w:r>
                            <w:rPr>
                              <w:rStyle w:val="Hyperlink.0"/>
                              <w:rtl w:val="0"/>
                              <w:lang w:val="en-US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4"/>
                        <w:szCs w:val="14"/>
                        <w:u w:color="ffffff"/>
                        <w:rtl w:val="0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26" name="officeArt object" descr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Style w:val="None"/>
                              <w:rFonts w:ascii="Corbel" w:cs="Corbel" w:hAnsi="Corbel" w:eastAsia="Corbel"/>
                              <w:outline w:val="0"/>
                              <w:color w:val="ffffff"/>
                              <w:u w:color="ffffff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>
                            <w:rPr>
                              <w:rStyle w:val="None"/>
                              <w:rFonts w:ascii="Corbel" w:hAnsi="Corbel"/>
                              <w:outline w:val="0"/>
                              <w:color w:val="ffffff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Style w:val="None"/>
                              <w:rFonts w:ascii="Impact" w:hAnsi="Impact"/>
                              <w:outline w:val="0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Style w:val="None"/>
                              <w:rFonts w:ascii="Cambria Math" w:hAnsi="Cambria Math"/>
                              <w:outline w:val="0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one"/>
                        <w:rFonts w:ascii="Corbel" w:cs="Corbel" w:hAnsi="Corbel" w:eastAsia="Corbel"/>
                        <w:outline w:val="0"/>
                        <w:color w:val="ffffff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one"/>
                        <w:rFonts w:ascii="Corbel" w:hAnsi="Corbel"/>
                        <w:outline w:val="0"/>
                        <w:color w:val="ffffff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Style w:val="None"/>
                        <w:rFonts w:ascii="Impact" w:hAnsi="Impact"/>
                        <w:outline w:val="0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Style w:val="None"/>
                        <w:rFonts w:ascii="Cambria Math" w:hAnsi="Cambria Math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Style w:val="None"/>
                              <w:rFonts w:ascii="Arial" w:cs="Arial" w:hAnsi="Arial" w:eastAsia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Style w:val="None"/>
                              <w:rFonts w:ascii="Arial" w:hAnsi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Style w:val="None"/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one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Style w:val="None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Style w:val="None"/>
                              <w:rFonts w:ascii="Impact" w:cs="Impact" w:hAnsi="Impact" w:eastAsia="Impact"/>
                              <w:outline w:val="0"/>
                              <w:color w:val="ffffff"/>
                              <w:sz w:val="24"/>
                              <w:szCs w:val="24"/>
                              <w:u w:color="ffffff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>
                            <w:rPr>
                              <w:rStyle w:val="None"/>
                              <w:rFonts w:ascii="Impact" w:hAnsi="Impact"/>
                              <w:outline w:val="0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it-IT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Style w:val="None"/>
                              <w:rFonts w:ascii="Arial" w:hAnsi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Style w:val="None"/>
                        <w:rFonts w:ascii="Impact" w:cs="Impact" w:hAnsi="Impact" w:eastAsia="Impact"/>
                        <w:outline w:val="0"/>
                        <w:color w:val="ffffff"/>
                        <w:sz w:val="24"/>
                        <w:szCs w:val="24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one"/>
                        <w:rFonts w:ascii="Impact" w:hAnsi="Impact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it-IT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Style w:val="None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Style w:val="None"/>
                              <w:rFonts w:ascii="Arial" w:cs="Arial" w:hAnsi="Arial" w:eastAsia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>
                            <w:rPr>
                              <w:rStyle w:val="None"/>
                              <w:rFonts w:ascii="Arial" w:hAnsi="Arial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one"/>
                              <w:rFonts w:ascii="Cambria Math" w:hAnsi="Cambria Math"/>
                              <w:outline w:val="0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a-DK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Style w:val="None"/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one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Style w:val="None"/>
                        <w:rFonts w:ascii="Cambria Math" w:hAnsi="Cambria Math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da-DK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384"/>
        </w:tabs>
        <w:ind w:left="3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84"/>
        </w:tabs>
        <w:ind w:left="10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84"/>
        </w:tabs>
        <w:ind w:left="17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84"/>
        </w:tabs>
        <w:ind w:left="24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84"/>
        </w:tabs>
        <w:ind w:left="316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84"/>
        </w:tabs>
        <w:ind w:left="388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84"/>
        </w:tabs>
        <w:ind w:left="460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84"/>
        </w:tabs>
        <w:ind w:left="532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84"/>
        </w:tabs>
        <w:ind w:left="6043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Tw Cen M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ffffff"/>
      <w:sz w:val="14"/>
      <w:szCs w:val="14"/>
      <w:u w:color="ffffff"/>
      <w14:textFill>
        <w14:solidFill>
          <w14:srgbClr w14:val="FFFFFF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7" w:after="0" w:line="400" w:lineRule="exact"/>
      <w:ind w:left="100" w:right="0" w:firstLine="0"/>
      <w:jc w:val="left"/>
      <w:outlineLvl w:val="0"/>
    </w:pPr>
    <w:rPr>
      <w:rFonts w:ascii="Cambria Math" w:cs="Arial Unicode MS" w:hAnsi="Cambria Math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00" w:lineRule="exact"/>
      <w:ind w:left="383" w:right="0" w:hanging="283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