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170"/>
        <w:ind w:left="0" w:firstLine="0"/>
      </w:pPr>
      <w:r>
        <w:rPr>
          <w:rStyle w:val="None"/>
          <w:outline w:val="0"/>
          <w:color w:val="337ab7"/>
          <w:u w:color="337ab7"/>
          <w:rtl w:val="0"/>
          <w:lang w:val="en-US"/>
          <w14:textFill>
            <w14:solidFill>
              <w14:srgbClr w14:val="337AB7"/>
            </w14:solidFill>
          </w14:textFill>
        </w:rPr>
        <w:t>Energy devices in Robotic Surgery</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Dr.T.K.Rajesh (</w:t>
      </w:r>
      <w:r>
        <w:rPr>
          <w:rStyle w:val="None"/>
          <w:rFonts w:ascii="Arial" w:hAnsi="Arial"/>
          <w:rtl w:val="0"/>
          <w:lang w:val="en-US"/>
        </w:rPr>
        <w:t xml:space="preserve"> University Hospital of Plymouth &amp; </w:t>
      </w:r>
      <w:r>
        <w:rPr>
          <w:rStyle w:val="None"/>
          <w:rFonts w:ascii="Arial" w:hAnsi="Arial"/>
          <w:rtl w:val="0"/>
          <w:lang w:val="en-US"/>
        </w:rPr>
        <w:t xml:space="preserve">Gem hospital, Chennai) </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Dr.Pinak Das Gupta</w:t>
      </w:r>
      <w:r>
        <w:rPr>
          <w:rStyle w:val="None"/>
          <w:rFonts w:ascii="Arial" w:hAnsi="Arial"/>
          <w:rtl w:val="0"/>
          <w:lang w:val="en-US"/>
        </w:rPr>
        <w:t>(</w:t>
      </w:r>
      <w:r>
        <w:rPr>
          <w:rStyle w:val="None"/>
          <w:rFonts w:ascii="Arial" w:hAnsi="Arial"/>
          <w:rtl w:val="0"/>
          <w:lang w:val="en-US"/>
        </w:rPr>
        <w:t xml:space="preserve">Gem hospital, Chennai) </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Dr.Venkat Akhilesh Thota</w:t>
      </w:r>
      <w:r>
        <w:rPr>
          <w:rStyle w:val="None"/>
          <w:rFonts w:ascii="Arial" w:hAnsi="Arial"/>
          <w:rtl w:val="0"/>
          <w:lang w:val="en-US"/>
        </w:rPr>
        <w:t xml:space="preserve"> (Chettinad Hospital and Research Institute, Chennai)</w:t>
      </w:r>
    </w:p>
    <w:p>
      <w:pPr>
        <w:pStyle w:val="Body Text"/>
        <w:spacing w:before="3"/>
        <w:rPr>
          <w:rStyle w:val="None"/>
          <w:rFonts w:ascii="Arial" w:cs="Arial" w:hAnsi="Arial" w:eastAsia="Arial"/>
          <w:sz w:val="21"/>
          <w:szCs w:val="21"/>
        </w:rPr>
      </w:pPr>
    </w:p>
    <w:p>
      <w:pPr>
        <w:pStyle w:val="Body"/>
        <w:rPr>
          <w:rStyle w:val="None"/>
          <w:rFonts w:ascii="Arial" w:cs="Arial" w:hAnsi="Arial" w:eastAsia="Arial"/>
        </w:rPr>
        <w:sectPr>
          <w:headerReference w:type="default" r:id="rId4"/>
          <w:footerReference w:type="default" r:id="rId5"/>
          <w:pgSz w:w="11920" w:h="16840" w:orient="portrait"/>
          <w:pgMar w:top="1740" w:right="600" w:bottom="840" w:left="620" w:header="541" w:footer="642"/>
          <w:bidi w:val="0"/>
        </w:sectPr>
      </w:pPr>
      <w:r>
        <w:rPr>
          <w:rStyle w:val="None"/>
          <w:rFonts w:ascii="Arial" w:cs="Arial" w:hAnsi="Arial" w:eastAsia="Arial"/>
        </w:rPr>
      </w:r>
    </w:p>
    <w:p>
      <w:pPr>
        <w:pStyle w:val="Heading 3"/>
        <w:spacing w:before="147"/>
        <w:jc w:val="both"/>
      </w:pPr>
      <w:r>
        <w:rPr>
          <w:rStyle w:val="None"/>
          <w:outline w:val="0"/>
          <w:color w:val="bf5a14"/>
          <w:u w:color="bf5a14"/>
          <w:rtl w:val="0"/>
          <w:lang w:val="en-US"/>
          <w14:textFill>
            <w14:solidFill>
              <w14:srgbClr w14:val="BF5A14"/>
            </w14:solidFill>
          </w14:textFill>
        </w:rPr>
        <w:t>Abstract (300 word limit)</w:t>
      </w:r>
    </w:p>
    <w:p>
      <w:pPr>
        <w:pStyle w:val="Body Text"/>
        <w:spacing w:before="90" w:line="280" w:lineRule="auto"/>
        <w:ind w:left="100" w:firstLine="0"/>
        <w:jc w:val="both"/>
        <w:rPr>
          <w:rStyle w:val="None"/>
        </w:rPr>
      </w:pPr>
      <w:r>
        <w:rPr>
          <w:rStyle w:val="None"/>
          <w:rtl w:val="0"/>
          <w:lang w:val="en-US"/>
        </w:rPr>
        <w:t>Introduction:</w:t>
      </w:r>
    </w:p>
    <w:p>
      <w:pPr>
        <w:pStyle w:val="Body Text"/>
        <w:spacing w:before="90" w:line="280" w:lineRule="auto"/>
        <w:ind w:left="100" w:firstLine="0"/>
        <w:jc w:val="both"/>
        <w:rPr>
          <w:rStyle w:val="None"/>
        </w:rPr>
      </w:pPr>
      <w:r>
        <w:rPr>
          <w:rStyle w:val="None"/>
          <w:rtl w:val="0"/>
          <w:lang w:val="en-US"/>
        </w:rPr>
        <w:t xml:space="preserve">After the introduction of DaVinci Robotic System more and more general surgical procedures are performed using robo. Various energy devices are used for this purpose. </w:t>
      </w:r>
    </w:p>
    <w:p>
      <w:pPr>
        <w:pStyle w:val="Body Text"/>
        <w:spacing w:before="90" w:line="280" w:lineRule="auto"/>
        <w:ind w:left="100" w:firstLine="0"/>
        <w:jc w:val="both"/>
        <w:rPr>
          <w:rStyle w:val="None"/>
        </w:rPr>
      </w:pPr>
    </w:p>
    <w:p>
      <w:pPr>
        <w:pStyle w:val="Body Text"/>
        <w:spacing w:before="90" w:line="280" w:lineRule="auto"/>
        <w:ind w:left="100" w:firstLine="0"/>
        <w:jc w:val="both"/>
        <w:rPr>
          <w:rStyle w:val="None"/>
        </w:rPr>
      </w:pPr>
      <w:r>
        <w:rPr>
          <w:rStyle w:val="None"/>
          <w:rtl w:val="0"/>
          <w:lang w:val="en-US"/>
        </w:rPr>
        <w:t>Methodology:</w:t>
      </w:r>
    </w:p>
    <w:p>
      <w:pPr>
        <w:pStyle w:val="Body Text"/>
        <w:spacing w:before="90" w:line="280" w:lineRule="auto"/>
        <w:ind w:left="100" w:firstLine="0"/>
        <w:jc w:val="both"/>
        <w:rPr>
          <w:rStyle w:val="None"/>
        </w:rPr>
      </w:pPr>
      <w:r>
        <w:rPr>
          <w:rStyle w:val="None"/>
          <w:rtl w:val="0"/>
          <w:lang w:val="en-US"/>
        </w:rPr>
        <w:t xml:space="preserve">We used a monopolar hook, monopolar scissors and harmonic to perform rectal cancer resections. Each energy device has its own merits and demerits. We are presenting here the Anterior resection performed using all the 3 devices. </w:t>
      </w:r>
    </w:p>
    <w:p>
      <w:pPr>
        <w:pStyle w:val="Body Text"/>
        <w:spacing w:before="90" w:line="280" w:lineRule="auto"/>
        <w:ind w:left="100" w:firstLine="0"/>
        <w:jc w:val="both"/>
        <w:rPr>
          <w:rStyle w:val="None"/>
        </w:rPr>
      </w:pPr>
    </w:p>
    <w:p>
      <w:pPr>
        <w:pStyle w:val="Body Text"/>
        <w:spacing w:before="90" w:line="280" w:lineRule="auto"/>
        <w:ind w:left="100" w:firstLine="0"/>
        <w:jc w:val="both"/>
        <w:rPr>
          <w:rStyle w:val="None"/>
        </w:rPr>
      </w:pPr>
      <w:r>
        <w:rPr>
          <w:rStyle w:val="None"/>
          <w:rtl w:val="0"/>
          <w:lang w:val="en-US"/>
        </w:rPr>
        <w:t>Results:</w:t>
      </w:r>
    </w:p>
    <w:p>
      <w:pPr>
        <w:pStyle w:val="Body Text"/>
        <w:spacing w:before="90" w:line="280" w:lineRule="auto"/>
        <w:ind w:left="100" w:firstLine="0"/>
        <w:jc w:val="both"/>
        <w:rPr>
          <w:rStyle w:val="None"/>
        </w:rPr>
      </w:pPr>
      <w:r>
        <w:rPr>
          <w:rStyle w:val="None"/>
          <w:rtl w:val="0"/>
          <w:lang w:val="en-US"/>
        </w:rPr>
        <w:t xml:space="preserve">Dissection with monopolar scissors was more accurate and ergonomically efficient in a closed pelvic space. </w:t>
      </w:r>
    </w:p>
    <w:p>
      <w:pPr>
        <w:pStyle w:val="Body Text"/>
        <w:spacing w:before="90" w:line="280" w:lineRule="auto"/>
        <w:ind w:left="100" w:firstLine="0"/>
        <w:jc w:val="both"/>
        <w:rPr>
          <w:rStyle w:val="None"/>
        </w:rPr>
      </w:pPr>
    </w:p>
    <w:p>
      <w:pPr>
        <w:pStyle w:val="Body Text"/>
        <w:spacing w:before="90" w:line="280" w:lineRule="auto"/>
        <w:ind w:left="100" w:firstLine="0"/>
        <w:jc w:val="both"/>
        <w:rPr>
          <w:rStyle w:val="None"/>
        </w:rPr>
      </w:pPr>
      <w:r>
        <w:rPr>
          <w:rStyle w:val="None"/>
          <w:rtl w:val="0"/>
          <w:lang w:val="en-US"/>
        </w:rPr>
        <w:t>Discussion:</w:t>
      </w:r>
    </w:p>
    <w:p>
      <w:pPr>
        <w:pStyle w:val="Body Text"/>
        <w:spacing w:before="90" w:line="280" w:lineRule="auto"/>
        <w:ind w:left="100" w:firstLine="0"/>
        <w:jc w:val="both"/>
      </w:pPr>
      <w:r>
        <w:rPr>
          <w:rStyle w:val="None"/>
          <w:rtl w:val="0"/>
          <w:lang w:val="en-US"/>
        </w:rPr>
        <w:t>If surgeons wanted a cost effective method of performing rectal cancer surgery , then, it is better to use monopolar scissors.</w:t>
      </w:r>
      <w:r>
        <w:rPr>
          <w:rStyle w:val="None"/>
          <w:rFonts w:ascii="Arial Unicode MS" w:cs="Arial Unicode MS" w:hAnsi="Arial Unicode MS" w:eastAsia="Arial Unicode MS"/>
          <w:b w:val="0"/>
          <w:bCs w:val="0"/>
          <w:i w:val="0"/>
          <w:iCs w:val="0"/>
        </w:rPr>
        <w:br w:type="column"/>
      </w:r>
    </w:p>
    <w:p>
      <w:pPr>
        <w:pStyle w:val="Heading 3"/>
        <w:spacing w:before="74"/>
      </w:pPr>
      <w:r>
        <w:rPr>
          <w:rStyle w:val="None"/>
          <w:outline w:val="0"/>
          <w:color w:val="bf5a14"/>
          <w:u w:color="bf5a14"/>
          <w:rtl w:val="0"/>
          <w:lang w:val="de-DE"/>
          <w14:textFill>
            <w14:solidFill>
              <w14:srgbClr w14:val="BF5A14"/>
            </w14:solidFill>
          </w14:textFill>
        </w:rPr>
        <w:t>Image</w:t>
      </w:r>
    </w:p>
    <w:p>
      <w:pPr>
        <w:pStyle w:val="Body Text"/>
        <w:spacing w:before="2"/>
        <w:rPr>
          <w:rStyle w:val="None"/>
          <w:rFonts w:ascii="Arial" w:cs="Arial" w:hAnsi="Arial" w:eastAsia="Arial"/>
          <w:b w:val="1"/>
          <w:bCs w:val="1"/>
          <w:sz w:val="16"/>
          <w:szCs w:val="16"/>
        </w:rPr>
      </w:pPr>
    </w:p>
    <w:p>
      <w:pPr>
        <w:pStyle w:val="Body"/>
        <w:spacing w:line="204" w:lineRule="exact"/>
        <w:rPr>
          <w:rStyle w:val="None"/>
          <w:rFonts w:ascii="Arial" w:cs="Arial" w:hAnsi="Arial" w:eastAsia="Arial"/>
          <w:b w:val="1"/>
          <w:bCs w:val="1"/>
          <w:sz w:val="20"/>
          <w:szCs w:val="20"/>
        </w:rPr>
      </w:pPr>
      <w:r>
        <w:rPr>
          <w:rStyle w:val="None"/>
          <w:rFonts w:ascii="Arial" w:cs="Arial" w:hAnsi="Arial" w:eastAsia="Arial"/>
          <w:b w:val="1"/>
          <w:bCs w:val="1"/>
          <w:outline w:val="0"/>
          <w:color w:val="bf5a14"/>
          <w:sz w:val="20"/>
          <w:szCs w:val="20"/>
          <w:u w:color="bf5a14"/>
          <w14:textFill>
            <w14:solidFill>
              <w14:srgbClr w14:val="BF5A14"/>
            </w14:solidFill>
          </w14:textFill>
        </w:rPr>
        <w:br w:type="textWrapping"/>
      </w:r>
      <w:r>
        <w:rPr>
          <w:rStyle w:val="None"/>
          <w:rFonts w:ascii="Arial" w:hAnsi="Arial"/>
          <w:b w:val="1"/>
          <w:bCs w:val="1"/>
          <w:outline w:val="0"/>
          <w:color w:val="bf5a14"/>
          <w:sz w:val="20"/>
          <w:szCs w:val="20"/>
          <w:u w:color="bf5a14"/>
          <w:rtl w:val="0"/>
          <w:lang w:val="en-US"/>
          <w14:textFill>
            <w14:solidFill>
              <w14:srgbClr w14:val="BF5A14"/>
            </w14:solidFill>
          </w14:textFill>
        </w:rPr>
        <w:t>Recent Publications (minimum 5)</w:t>
      </w:r>
    </w:p>
    <w:p>
      <w:pPr>
        <w:pStyle w:val="Default"/>
        <w:bidi w:val="0"/>
        <w:spacing w:before="0"/>
        <w:ind w:left="0" w:right="0" w:firstLine="0"/>
        <w:jc w:val="left"/>
        <w:rPr>
          <w:rStyle w:val="None"/>
          <w:rFonts w:ascii="Calibri" w:cs="Calibri" w:hAnsi="Calibri" w:eastAsia="Calibri"/>
          <w:b w:val="1"/>
          <w:bCs w:val="1"/>
          <w:outline w:val="0"/>
          <w:color w:val="212121"/>
          <w:sz w:val="18"/>
          <w:szCs w:val="18"/>
          <w:shd w:val="clear" w:color="auto" w:fill="ffffff"/>
          <w:rtl w:val="0"/>
          <w14:textFill>
            <w14:solidFill>
              <w14:srgbClr w14:val="212121"/>
            </w14:solidFill>
          </w14:textFill>
        </w:rPr>
      </w:pP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Dickson EA, Penna M, Cunningham C, et al. Carbon Dioxide Embolism Associated With Transanal Total Mesorectal Excision Surgery: A Report From the International Registries.</w:t>
      </w:r>
      <w:r>
        <w:rPr>
          <w:sz w:val="18"/>
          <w:szCs w:val="18"/>
          <w:rtl w:val="0"/>
          <w:lang w:val="en-US"/>
        </w:rPr>
        <w:t> </w:t>
      </w:r>
      <w:r>
        <w:rPr>
          <w:rStyle w:val="None"/>
          <w:i w:val="1"/>
          <w:iCs w:val="1"/>
          <w:sz w:val="18"/>
          <w:szCs w:val="18"/>
          <w:rtl w:val="0"/>
          <w:lang w:val="en-US"/>
        </w:rPr>
        <w:t>Dis Colon Rectum</w:t>
      </w:r>
      <w:r>
        <w:rPr>
          <w:sz w:val="18"/>
          <w:szCs w:val="18"/>
          <w:rtl w:val="0"/>
          <w:lang w:val="en-US"/>
        </w:rPr>
        <w:t>. 2019;62(7):794-801. doi:10.1097/DCR.0000000000001410</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Mahendran B, Bracey T, Kochupapy RT. A Midgut Duplication Cyst Lined by Respiratory Epithelium.</w:t>
      </w:r>
      <w:r>
        <w:rPr>
          <w:sz w:val="18"/>
          <w:szCs w:val="18"/>
          <w:rtl w:val="0"/>
          <w:lang w:val="en-US"/>
        </w:rPr>
        <w:t> </w:t>
      </w:r>
      <w:r>
        <w:rPr>
          <w:rStyle w:val="None"/>
          <w:i w:val="1"/>
          <w:iCs w:val="1"/>
          <w:sz w:val="18"/>
          <w:szCs w:val="18"/>
          <w:rtl w:val="0"/>
          <w:lang w:val="en-US"/>
        </w:rPr>
        <w:t>Case Rep Surg</w:t>
      </w:r>
      <w:r>
        <w:rPr>
          <w:sz w:val="18"/>
          <w:szCs w:val="18"/>
          <w:rtl w:val="0"/>
          <w:lang w:val="en-US"/>
        </w:rPr>
        <w:t>. 2018;2018:2678782. Published 2018 Mar 12. doi:10.1155/2018/2678782</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Kochupapy RT, Ranganathan G, Dias S, Shanahan D. Aetiology of femoral hernias revisited: bilateral femoral hernia in a young male (two cases). Ann R Coll Surg Engl. 2013 Jan;95(1):e14-6. doi: 10.1308/003588413x13511609955733. PMID: 23317716; PMCID: PMC3964665.</w:t>
      </w:r>
    </w:p>
    <w:p>
      <w:pPr>
        <w:pStyle w:val="List Paragraph"/>
        <w:numPr>
          <w:ilvl w:val="0"/>
          <w:numId w:val="2"/>
        </w:numPr>
        <w:bidi w:val="0"/>
        <w:spacing w:line="216" w:lineRule="exact"/>
        <w:ind w:right="137"/>
        <w:jc w:val="both"/>
        <w:rPr>
          <w:sz w:val="18"/>
          <w:szCs w:val="18"/>
          <w:rtl w:val="0"/>
          <w:lang w:val="en-US"/>
        </w:rPr>
      </w:pPr>
      <w:r>
        <w:rPr>
          <w:sz w:val="18"/>
          <w:szCs w:val="18"/>
          <w:rtl w:val="0"/>
          <w:lang w:val="en-US"/>
        </w:rPr>
        <w:t>Francis N, Penna M, Carter F, Mortensen NJ, Hompes R; ACPGBI Pilot National TaTME Training Initiative Steering Group. Development and early outcomes of the national training initiative for transanal total mesorectal excision in the UK.</w:t>
      </w:r>
      <w:r>
        <w:rPr>
          <w:sz w:val="18"/>
          <w:szCs w:val="18"/>
          <w:rtl w:val="0"/>
          <w:lang w:val="en-US"/>
        </w:rPr>
        <w:t> </w:t>
      </w:r>
      <w:r>
        <w:rPr>
          <w:sz w:val="18"/>
          <w:szCs w:val="18"/>
          <w:rtl w:val="0"/>
          <w:lang w:val="en-US"/>
        </w:rPr>
        <w:t>Colorectal Dis. 2020;22(7):756-767. doi:10.1111/codi.15022</w:t>
      </w:r>
    </w:p>
    <w:p>
      <w:pPr>
        <w:pStyle w:val="Body"/>
        <w:spacing w:line="200" w:lineRule="exact"/>
        <w:jc w:val="both"/>
        <w:rPr>
          <w:rStyle w:val="None"/>
          <w:rFonts w:ascii="Calibri" w:cs="Calibri" w:hAnsi="Calibri" w:eastAsia="Calibri"/>
        </w:rPr>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hAnsi="Calibri"/>
          <w:rtl w:val="0"/>
        </w:rPr>
        <w:t xml:space="preserve">   </w:t>
      </w:r>
      <w:r>
        <w:rPr>
          <w:rStyle w:val="None"/>
          <w:rFonts w:ascii="Calibri" w:cs="Calibri" w:hAnsi="Calibri" w:eastAsia="Calibri"/>
        </w:rPr>
      </w:r>
    </w:p>
    <w:p>
      <w:pPr>
        <w:pStyle w:val="Body Text"/>
        <w:rPr>
          <w:rStyle w:val="None"/>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xmlns:a="http://schemas.openxmlformats.org/drawingml/2006/main">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Style w:val="None"/>
          <w:rFonts w:ascii="Arial" w:cs="Arial" w:hAnsi="Arial" w:eastAsia="Arial"/>
        </w:rPr>
      </w:pPr>
      <w:r>
        <w:rPr>
          <w:rStyle w:val="None"/>
          <w:rtl w:val="0"/>
        </w:rPr>
        <w:t xml:space="preserve">              </w:t>
      </w:r>
      <w:r>
        <w:rPr>
          <w:rStyle w:val="None"/>
          <w:rFonts w:ascii="Arial" w:hAnsi="Arial"/>
          <w:outline w:val="0"/>
          <w:color w:val="bf5a14"/>
          <w:u w:color="bf5a14"/>
          <w:rtl w:val="0"/>
          <w:lang w:val="en-US"/>
          <w14:textFill>
            <w14:solidFill>
              <w14:srgbClr w14:val="BF5A14"/>
            </w14:solidFill>
          </w14:textFill>
        </w:rPr>
        <w:t>Biography (150 word limit)</w:t>
      </w: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rtl w:val="0"/>
          <w:lang w:val="en-US"/>
        </w:rPr>
        <w:t xml:space="preserve">Dr T K Rajesh </w:t>
      </w:r>
      <w:r>
        <w:rPr>
          <w:rStyle w:val="None"/>
          <w:rFonts w:ascii="Arial" w:hAnsi="Arial"/>
          <w:sz w:val="14"/>
          <w:szCs w:val="14"/>
          <w:rtl w:val="0"/>
          <w:lang w:val="en-US"/>
        </w:rPr>
        <w:t xml:space="preserve">Since 1994 </w:t>
      </w:r>
      <w:r>
        <w:rPr>
          <w:rStyle w:val="None"/>
          <w:rFonts w:ascii="Arial" w:hAnsi="Arial"/>
          <w:sz w:val="14"/>
          <w:szCs w:val="14"/>
          <w:rtl w:val="0"/>
          <w:lang w:val="en-US"/>
        </w:rPr>
        <w:t>has</w:t>
      </w:r>
      <w:r>
        <w:rPr>
          <w:rStyle w:val="None"/>
          <w:rFonts w:ascii="Arial" w:hAnsi="Arial"/>
          <w:sz w:val="14"/>
          <w:szCs w:val="14"/>
          <w:rtl w:val="0"/>
          <w:lang w:val="en-US"/>
        </w:rPr>
        <w:t xml:space="preserve"> been working in general surgery and have completed FRCS (Gen Sur/Colorectal) and EBSQ (Coloproctology).</w:t>
      </w:r>
      <w:r>
        <w:rPr>
          <w:rStyle w:val="None"/>
          <w:rFonts w:ascii="Arial" w:hAnsi="Arial"/>
          <w:sz w:val="14"/>
          <w:szCs w:val="14"/>
          <w:rtl w:val="0"/>
          <w:lang w:val="en-US"/>
        </w:rPr>
        <w:t xml:space="preserve"> He is a Robotic and Colorectal Surgeon. </w:t>
      </w:r>
      <w:r>
        <w:rPr>
          <w:rStyle w:val="None"/>
          <w:rFonts w:ascii="Arial" w:hAnsi="Arial"/>
          <w:sz w:val="14"/>
          <w:szCs w:val="14"/>
          <w:rtl w:val="0"/>
        </w:rPr>
        <w:t>Email: vtkr0705@gmail.com</w:t>
      </w:r>
    </w:p>
    <w:p>
      <w:pPr>
        <w:pStyle w:val="Body Text"/>
        <w:spacing w:before="2"/>
        <w:rPr>
          <w:rStyle w:val="None"/>
          <w:rFonts w:ascii="Arial" w:cs="Arial" w:hAnsi="Arial" w:eastAsia="Arial"/>
          <w:sz w:val="19"/>
          <w:szCs w:val="19"/>
        </w:rPr>
      </w:pPr>
      <w:r>
        <w:rPr>
          <w:rStyle w:val="None"/>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1"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one"/>
          <w:rFonts w:ascii="Arial" w:cs="Arial" w:hAnsi="Arial" w:eastAsia="Arial"/>
          <w:sz w:val="20"/>
          <w:szCs w:val="20"/>
        </w:rPr>
      </w:pPr>
    </w:p>
    <w:p>
      <w:pPr>
        <w:pStyle w:val="Body Text"/>
        <w:rPr>
          <w:rStyle w:val="None"/>
          <w:rFonts w:ascii="Arial" w:cs="Arial" w:hAnsi="Arial" w:eastAsia="Arial"/>
          <w:sz w:val="20"/>
          <w:szCs w:val="20"/>
        </w:rPr>
      </w:pPr>
    </w:p>
    <w:p>
      <w:pPr>
        <w:pStyle w:val="Body Text"/>
        <w:spacing w:before="7"/>
        <w:rPr>
          <w:rStyle w:val="None"/>
          <w:rFonts w:ascii="Arial" w:cs="Arial" w:hAnsi="Arial" w:eastAsia="Arial"/>
          <w:sz w:val="29"/>
          <w:szCs w:val="29"/>
        </w:rPr>
      </w:pPr>
    </w:p>
    <w:p>
      <w:pPr>
        <w:pStyle w:val="Body"/>
        <w:spacing w:before="39"/>
        <w:ind w:left="100" w:firstLine="0"/>
        <w:rPr>
          <w:rStyle w:val="None"/>
          <w:rFonts w:ascii="Cambria Math" w:cs="Cambria Math" w:hAnsi="Cambria Math" w:eastAsia="Cambria Math"/>
          <w:sz w:val="20"/>
          <w:szCs w:val="20"/>
        </w:rPr>
      </w:pPr>
      <w:r>
        <w:rPr>
          <w:rStyle w:val="None"/>
          <w:rFonts w:ascii="Cambria Math" w:hAnsi="Cambria Math"/>
          <w:sz w:val="20"/>
          <w:szCs w:val="20"/>
          <w:rtl w:val="0"/>
          <w:lang w:val="en-US"/>
        </w:rPr>
        <w:t>Notes/Comments:</w:t>
      </w:r>
    </w:p>
    <w:p>
      <w:pPr>
        <w:pStyle w:val="Body"/>
      </w:pPr>
      <w:r>
        <w:rPr>
          <w:rStyle w:val="None"/>
          <w:rFonts w:ascii="Cambria Math" w:hAnsi="Cambria Math"/>
          <w:sz w:val="20"/>
          <w:szCs w:val="20"/>
          <w:rtl w:val="0"/>
        </w:rPr>
        <w:t>https://www.linkedin.com/in/drtkrajesh/</w:t>
      </w:r>
      <w:r>
        <w:rPr>
          <w:rStyle w:val="None"/>
          <w:rFonts w:ascii="Cambria Math" w:cs="Cambria Math" w:hAnsi="Cambria Math" w:eastAsia="Cambria Math"/>
          <w:sz w:val="20"/>
          <w:szCs w:val="20"/>
        </w:rPr>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Corbel">
    <w:charset w:val="00"/>
    <w:family w:val="roman"/>
    <w:pitch w:val="default"/>
  </w:font>
  <w:font w:name="Impact">
    <w:charset w:val="00"/>
    <w:family w:val="roman"/>
    <w:pitch w:val="default"/>
  </w:font>
  <w:font w:name="Cambria Math">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Corbel" w:cs="Corbel" w:hAnsi="Corbel" w:eastAsia="Corbel"/>
                              <w:outline w:val="0"/>
                              <w:color w:val="ffffff"/>
                              <w:u w:color="ffffff"/>
                              <w14:textFill>
                                <w14:solidFill>
                                  <w14:srgbClr w14:val="FFFFFF"/>
                                </w14:solidFill>
                              </w14:textFill>
                            </w:rPr>
                          </w:pPr>
                          <w:r>
                            <w:rPr>
                              <w:rStyle w:val="None"/>
                              <w:rFonts w:ascii="Corbel" w:hAnsi="Corbel"/>
                              <w:outline w:val="0"/>
                              <w:color w:val="ffffff"/>
                              <w:u w:color="ffffff"/>
                              <w:rtl w:val="0"/>
                              <w:lang w:val="en-US"/>
                              <w14:textFill>
                                <w14:solidFill>
                                  <w14:srgbClr w14:val="FFFFFF"/>
                                </w14:solidFill>
                              </w14:textFill>
                            </w:rPr>
                            <w:t>International Conference on</w:t>
                          </w:r>
                        </w:p>
                        <w:p>
                          <w:pPr>
                            <w:pStyle w:val="Body"/>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Cambria Math" w:hAnsi="Cambria Math"/>
                              <w:outline w:val="0"/>
                              <w:color w:val="ffffff"/>
                              <w:sz w:val="24"/>
                              <w:szCs w:val="24"/>
                              <w:u w:color="ffffff"/>
                              <w:rtl w:val="0"/>
                              <w:lang w:val="en-US"/>
                              <w14:textFill>
                                <w14:solidFill>
                                  <w14:srgbClr w14:val="FFFFFF"/>
                                </w14:solidFill>
                              </w14:textFill>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Corbel" w:cs="Corbel" w:hAnsi="Corbel" w:eastAsia="Corbel"/>
                        <w:outline w:val="0"/>
                        <w:color w:val="ffffff"/>
                        <w:u w:color="ffffff"/>
                        <w14:textFill>
                          <w14:solidFill>
                            <w14:srgbClr w14:val="FFFFFF"/>
                          </w14:solidFill>
                        </w14:textFill>
                      </w:rPr>
                    </w:pPr>
                    <w:r>
                      <w:rPr>
                        <w:rStyle w:val="None"/>
                        <w:rFonts w:ascii="Corbel" w:hAnsi="Corbel"/>
                        <w:outline w:val="0"/>
                        <w:color w:val="ffffff"/>
                        <w:u w:color="ffffff"/>
                        <w:rtl w:val="0"/>
                        <w:lang w:val="en-US"/>
                        <w14:textFill>
                          <w14:solidFill>
                            <w14:srgbClr w14:val="FFFFFF"/>
                          </w14:solidFill>
                        </w14:textFill>
                      </w:rPr>
                      <w:t>International Conference on</w:t>
                    </w:r>
                  </w:p>
                  <w:p>
                    <w:pPr>
                      <w:pStyle w:val="Body"/>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Cambria Math" w:hAnsi="Cambria Math"/>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p>
                        <w:p>
                          <w:pPr>
                            <w:pStyle w:val="Body"/>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p>
                  <w:p>
                    <w:pPr>
                      <w:pStyle w:val="Body"/>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lang w:val="it-IT"/>
                              <w14:textFill>
                                <w14:solidFill>
                                  <w14:srgbClr w14:val="FFFFFF"/>
                                </w14:solidFill>
                              </w14:textFill>
                            </w:rPr>
                            <w:t>Fibromyalgia 2016</w:t>
                          </w:r>
                        </w:p>
                        <w:p>
                          <w:pPr>
                            <w:pStyle w:val="Body"/>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lang w:val="it-IT"/>
                        <w14:textFill>
                          <w14:solidFill>
                            <w14:srgbClr w14:val="FFFFFF"/>
                          </w14:solidFill>
                        </w14:textFill>
                      </w:rPr>
                      <w:t>Fibromyalgia 2016</w:t>
                    </w:r>
                  </w:p>
                  <w:p>
                    <w:pPr>
                      <w:pStyle w:val="Body"/>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p>
                        <w:p>
                          <w:pPr>
                            <w:pStyle w:val="Body"/>
                            <w:spacing w:before="116"/>
                            <w:ind w:right="18"/>
                            <w:jc w:val="right"/>
                          </w:pPr>
                          <w:r>
                            <w:rPr>
                              <w:rStyle w:val="None"/>
                              <w:rFonts w:ascii="Cambria Math" w:hAnsi="Cambria Math"/>
                              <w:outline w:val="0"/>
                              <w:color w:val="ffffff"/>
                              <w:sz w:val="16"/>
                              <w:szCs w:val="16"/>
                              <w:u w:color="ffffff"/>
                              <w:rtl w:val="0"/>
                              <w:lang w:val="da-DK"/>
                              <w14:textFill>
                                <w14:solidFill>
                                  <w14:srgbClr w14:val="FFFFFF"/>
                                </w14:solidFill>
                              </w14:textFill>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p>
                  <w:p>
                    <w:pPr>
                      <w:pStyle w:val="Body"/>
                      <w:spacing w:before="116"/>
                      <w:ind w:right="18"/>
                      <w:jc w:val="right"/>
                    </w:pPr>
                    <w:r>
                      <w:rPr>
                        <w:rStyle w:val="None"/>
                        <w:rFonts w:ascii="Cambria Math" w:hAnsi="Cambria Math"/>
                        <w:outline w:val="0"/>
                        <w:color w:val="ffffff"/>
                        <w:sz w:val="16"/>
                        <w:szCs w:val="16"/>
                        <w:u w:color="ffffff"/>
                        <w:rtl w:val="0"/>
                        <w:lang w:val="da-DK"/>
                        <w14:textFill>
                          <w14:solidFill>
                            <w14:srgbClr w14:val="FFFFFF"/>
                          </w14:solidFill>
                        </w14:textFill>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384"/>
        </w:tabs>
        <w:ind w:left="3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outline w:val="0"/>
      <w:color w:val="ffffff"/>
      <w:sz w:val="14"/>
      <w:szCs w:val="14"/>
      <w:u w:color="ffffff"/>
      <w14:textFill>
        <w14:solidFill>
          <w14:srgbClr w14:val="FFFFFF"/>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Cambria Math" w:cs="Arial Unicode MS" w:hAnsi="Cambria Math" w:eastAsia="Arial Unicode MS"/>
      <w:b w:val="0"/>
      <w:bCs w:val="0"/>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noFill/>
      </w14:textOutline>
      <w14:textFill>
        <w14:solidFill>
          <w14:srgbClr w14:val="000000"/>
        </w14:solidFill>
      </w14:textFill>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