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27AA" w:rsidRDefault="00DA27AA" w:rsidP="00DA27AA">
      <w:pPr>
        <w:pStyle w:val="1"/>
        <w:spacing w:before="170"/>
        <w:ind w:left="0"/>
        <w:rPr>
          <w:color w:val="337AB7"/>
        </w:rPr>
      </w:pPr>
      <w:proofErr w:type="spellStart"/>
      <w:r w:rsidRPr="00DA27AA">
        <w:rPr>
          <w:color w:val="337AB7"/>
        </w:rPr>
        <w:t>Cbf</w:t>
      </w:r>
      <w:proofErr w:type="spellEnd"/>
      <w:r w:rsidRPr="00DA27AA">
        <w:rPr>
          <w:color w:val="337AB7"/>
        </w:rPr>
        <w:t>β/Runx1 complex is important for articular cartilage integrity</w:t>
      </w:r>
    </w:p>
    <w:p w:rsidR="00DA27AA" w:rsidRDefault="00DA27AA" w:rsidP="00DA27AA">
      <w:pPr>
        <w:pStyle w:val="1"/>
        <w:spacing w:before="170"/>
        <w:ind w:left="0"/>
        <w:rPr>
          <w:rFonts w:ascii="Arial"/>
          <w:b w:val="0"/>
          <w:sz w:val="18"/>
        </w:rPr>
      </w:pPr>
      <w:r w:rsidRPr="00DA27AA">
        <w:rPr>
          <w:rFonts w:ascii="Arial"/>
          <w:b w:val="0"/>
          <w:sz w:val="18"/>
        </w:rPr>
        <w:t xml:space="preserve">Xian </w:t>
      </w:r>
      <w:proofErr w:type="spellStart"/>
      <w:r w:rsidRPr="00DA27AA">
        <w:rPr>
          <w:rFonts w:ascii="Arial"/>
          <w:b w:val="0"/>
          <w:sz w:val="18"/>
        </w:rPr>
        <w:t>Jin</w:t>
      </w:r>
      <w:proofErr w:type="spellEnd"/>
      <w:r w:rsidRPr="00DA27AA">
        <w:rPr>
          <w:rFonts w:ascii="Arial"/>
          <w:b w:val="0"/>
          <w:sz w:val="18"/>
        </w:rPr>
        <w:t xml:space="preserve">, </w:t>
      </w:r>
      <w:proofErr w:type="spellStart"/>
      <w:r w:rsidRPr="00DA27AA">
        <w:rPr>
          <w:rFonts w:ascii="Arial"/>
          <w:b w:val="0"/>
          <w:sz w:val="18"/>
        </w:rPr>
        <w:t>Xiangguo</w:t>
      </w:r>
      <w:proofErr w:type="spellEnd"/>
      <w:r w:rsidRPr="00DA27AA">
        <w:rPr>
          <w:rFonts w:ascii="Arial"/>
          <w:b w:val="0"/>
          <w:sz w:val="18"/>
        </w:rPr>
        <w:t xml:space="preserve"> </w:t>
      </w:r>
      <w:proofErr w:type="spellStart"/>
      <w:r w:rsidRPr="00DA27AA">
        <w:rPr>
          <w:rFonts w:ascii="Arial"/>
          <w:b w:val="0"/>
          <w:sz w:val="18"/>
        </w:rPr>
        <w:t>Che</w:t>
      </w:r>
      <w:proofErr w:type="spellEnd"/>
      <w:r w:rsidRPr="00DA27AA">
        <w:rPr>
          <w:rFonts w:ascii="Arial"/>
          <w:b w:val="0"/>
          <w:sz w:val="18"/>
        </w:rPr>
        <w:t>, Yu-Min Hong, Dong-</w:t>
      </w:r>
      <w:proofErr w:type="spellStart"/>
      <w:r w:rsidRPr="00DA27AA">
        <w:rPr>
          <w:rFonts w:ascii="Arial"/>
          <w:b w:val="0"/>
          <w:sz w:val="18"/>
        </w:rPr>
        <w:t>Kyo</w:t>
      </w:r>
      <w:proofErr w:type="spellEnd"/>
      <w:r w:rsidRPr="00DA27AA">
        <w:rPr>
          <w:rFonts w:ascii="Arial"/>
          <w:b w:val="0"/>
          <w:sz w:val="18"/>
        </w:rPr>
        <w:t xml:space="preserve"> Lee, </w:t>
      </w:r>
      <w:proofErr w:type="spellStart"/>
      <w:r w:rsidRPr="00DA27AA">
        <w:rPr>
          <w:rFonts w:ascii="Arial"/>
          <w:b w:val="0"/>
          <w:sz w:val="18"/>
        </w:rPr>
        <w:t>Byung-Deug</w:t>
      </w:r>
      <w:proofErr w:type="spellEnd"/>
      <w:r w:rsidRPr="00DA27AA">
        <w:rPr>
          <w:rFonts w:ascii="Arial"/>
          <w:b w:val="0"/>
          <w:sz w:val="18"/>
        </w:rPr>
        <w:t xml:space="preserve"> Kim, Na-Rae Park</w:t>
      </w:r>
      <w:proofErr w:type="gramStart"/>
      <w:r w:rsidRPr="00DA27AA">
        <w:rPr>
          <w:rFonts w:ascii="Arial"/>
          <w:b w:val="0"/>
          <w:sz w:val="18"/>
        </w:rPr>
        <w:t>, ,</w:t>
      </w:r>
      <w:proofErr w:type="gramEnd"/>
      <w:r w:rsidRPr="00DA27AA">
        <w:rPr>
          <w:rFonts w:ascii="Arial"/>
          <w:b w:val="0"/>
          <w:sz w:val="18"/>
        </w:rPr>
        <w:t xml:space="preserve"> Hyun-</w:t>
      </w:r>
      <w:proofErr w:type="spellStart"/>
      <w:r w:rsidRPr="00DA27AA">
        <w:rPr>
          <w:rFonts w:ascii="Arial"/>
          <w:b w:val="0"/>
          <w:sz w:val="18"/>
        </w:rPr>
        <w:t>Ju</w:t>
      </w:r>
      <w:proofErr w:type="spellEnd"/>
      <w:r w:rsidRPr="00DA27AA">
        <w:rPr>
          <w:rFonts w:ascii="Arial"/>
          <w:b w:val="0"/>
          <w:sz w:val="18"/>
        </w:rPr>
        <w:t xml:space="preserve"> Kim and Je-Yong Choi</w:t>
      </w:r>
    </w:p>
    <w:p w:rsidR="00DA27AA" w:rsidRPr="00DA27AA" w:rsidRDefault="00DA27AA" w:rsidP="00DA27AA">
      <w:r w:rsidRPr="00DA27AA">
        <w:t xml:space="preserve">Department of Biochemistry and Cell Biology, Cell and Matrix Research Institute, Korea Mouse Phenotype Consortium, BK21 Plus KNU Biomedical Convergence Program, School of Medicine, </w:t>
      </w:r>
      <w:proofErr w:type="spellStart"/>
      <w:r w:rsidRPr="00DA27AA">
        <w:t>Kyungpook</w:t>
      </w:r>
      <w:proofErr w:type="spellEnd"/>
      <w:r w:rsidRPr="00DA27AA">
        <w:t xml:space="preserve"> National University, Daegu 41944, Republic of Korea</w:t>
      </w:r>
    </w:p>
    <w:p w:rsidR="00FD027B" w:rsidRDefault="00FD027B">
      <w:pPr>
        <w:pStyle w:val="a3"/>
        <w:rPr>
          <w:rFonts w:ascii="Arial"/>
          <w:sz w:val="20"/>
        </w:rPr>
      </w:pPr>
    </w:p>
    <w:p w:rsidR="00FD027B" w:rsidRDefault="00FD027B">
      <w:pPr>
        <w:pStyle w:val="a3"/>
        <w:spacing w:before="3"/>
        <w:rPr>
          <w:rFonts w:ascii="Arial"/>
          <w:sz w:val="21"/>
        </w:rPr>
      </w:pPr>
    </w:p>
    <w:p w:rsidR="00FD027B" w:rsidRDefault="00FD027B">
      <w:pPr>
        <w:rPr>
          <w:rFonts w:ascii="Arial"/>
          <w:sz w:val="21"/>
        </w:rPr>
        <w:sectPr w:rsidR="00FD027B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FD027B" w:rsidRDefault="009962A1">
      <w:pPr>
        <w:pStyle w:val="3"/>
        <w:spacing w:before="147"/>
      </w:pPr>
      <w:r>
        <w:rPr>
          <w:color w:val="BF5A14"/>
        </w:rPr>
        <w:t>Abstract (300 word limit)</w:t>
      </w:r>
    </w:p>
    <w:p w:rsidR="00FD027B" w:rsidRDefault="00DA27AA" w:rsidP="00DA27AA">
      <w:pPr>
        <w:pStyle w:val="3"/>
        <w:spacing w:before="74"/>
        <w:rPr>
          <w:rFonts w:ascii="Minion Pro"/>
          <w:sz w:val="26"/>
        </w:rPr>
      </w:pPr>
      <w:r w:rsidRPr="00DA27AA">
        <w:rPr>
          <w:rFonts w:ascii="Tw Cen MT" w:eastAsia="Tw Cen MT" w:hAnsi="Tw Cen MT" w:cs="Tw Cen MT"/>
          <w:b w:val="0"/>
          <w:bCs w:val="0"/>
          <w:sz w:val="18"/>
          <w:szCs w:val="18"/>
        </w:rPr>
        <w:t>Osteoarthritis (OA), a leading age-related disease in society, still lacks a clear molecular mechanism. Here, we explored in vivo role of core binding factor β (</w:t>
      </w:r>
      <w:proofErr w:type="spellStart"/>
      <w:r w:rsidRPr="00DA27AA">
        <w:rPr>
          <w:rFonts w:ascii="Tw Cen MT" w:eastAsia="Tw Cen MT" w:hAnsi="Tw Cen MT" w:cs="Tw Cen MT"/>
          <w:b w:val="0"/>
          <w:bCs w:val="0"/>
          <w:sz w:val="18"/>
          <w:szCs w:val="18"/>
        </w:rPr>
        <w:t>Cbf</w:t>
      </w:r>
      <w:proofErr w:type="spellEnd"/>
      <w:r w:rsidRPr="00DA27A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β) in OA by generating articular cartilage-specific </w:t>
      </w:r>
      <w:proofErr w:type="spellStart"/>
      <w:r w:rsidRPr="00DA27AA">
        <w:rPr>
          <w:rFonts w:ascii="Tw Cen MT" w:eastAsia="Tw Cen MT" w:hAnsi="Tw Cen MT" w:cs="Tw Cen MT"/>
          <w:b w:val="0"/>
          <w:bCs w:val="0"/>
          <w:sz w:val="18"/>
          <w:szCs w:val="18"/>
        </w:rPr>
        <w:t>Cbf</w:t>
      </w:r>
      <w:proofErr w:type="spellEnd"/>
      <w:r w:rsidRPr="00DA27AA">
        <w:rPr>
          <w:rFonts w:ascii="Tw Cen MT" w:eastAsia="Tw Cen MT" w:hAnsi="Tw Cen MT" w:cs="Tw Cen MT"/>
          <w:b w:val="0"/>
          <w:bCs w:val="0"/>
          <w:sz w:val="18"/>
          <w:szCs w:val="18"/>
        </w:rPr>
        <w:t>β-deleted mice (</w:t>
      </w:r>
      <w:proofErr w:type="spellStart"/>
      <w:r w:rsidRPr="00DA27AA">
        <w:rPr>
          <w:rFonts w:ascii="Tw Cen MT" w:eastAsia="Tw Cen MT" w:hAnsi="Tw Cen MT" w:cs="Tw Cen MT"/>
          <w:b w:val="0"/>
          <w:bCs w:val="0"/>
          <w:sz w:val="18"/>
          <w:szCs w:val="18"/>
        </w:rPr>
        <w:t>Cbf</w:t>
      </w:r>
      <w:proofErr w:type="spellEnd"/>
      <w:r w:rsidRPr="00DA27AA">
        <w:rPr>
          <w:rFonts w:ascii="Tw Cen MT" w:eastAsia="Tw Cen MT" w:hAnsi="Tw Cen MT" w:cs="Tw Cen MT"/>
          <w:b w:val="0"/>
          <w:bCs w:val="0"/>
          <w:sz w:val="18"/>
          <w:szCs w:val="18"/>
        </w:rPr>
        <w:t>β</w:t>
      </w:r>
      <w:r w:rsidRPr="00DA27AA">
        <w:rPr>
          <w:rFonts w:ascii="Cambria Math" w:eastAsia="Tw Cen MT" w:hAnsi="Cambria Math" w:cs="Cambria Math"/>
          <w:b w:val="0"/>
          <w:bCs w:val="0"/>
          <w:sz w:val="18"/>
          <w:szCs w:val="18"/>
          <w:vertAlign w:val="superscript"/>
        </w:rPr>
        <w:t>△</w:t>
      </w:r>
      <w:r w:rsidRPr="00DA27AA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ac/</w:t>
      </w:r>
      <w:r w:rsidRPr="00DA27AA">
        <w:rPr>
          <w:rFonts w:ascii="Cambria Math" w:eastAsia="Tw Cen MT" w:hAnsi="Cambria Math" w:cs="Cambria Math"/>
          <w:b w:val="0"/>
          <w:bCs w:val="0"/>
          <w:sz w:val="18"/>
          <w:szCs w:val="18"/>
          <w:vertAlign w:val="superscript"/>
        </w:rPr>
        <w:t>△</w:t>
      </w:r>
      <w:r w:rsidRPr="00DA27AA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ac</w:t>
      </w:r>
      <w:r w:rsidRPr="00DA27A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) using Gdf5 promoter-driven </w:t>
      </w:r>
      <w:proofErr w:type="spellStart"/>
      <w:r w:rsidRPr="00DA27AA">
        <w:rPr>
          <w:rFonts w:ascii="Tw Cen MT" w:eastAsia="Tw Cen MT" w:hAnsi="Tw Cen MT" w:cs="Tw Cen MT"/>
          <w:b w:val="0"/>
          <w:bCs w:val="0"/>
          <w:sz w:val="18"/>
          <w:szCs w:val="18"/>
        </w:rPr>
        <w:t>Cre</w:t>
      </w:r>
      <w:proofErr w:type="spellEnd"/>
      <w:r w:rsidRPr="00DA27A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mice. OA was induced through destabilization of the medial meniscus (DMM) surgery in 12-week-old male mice. At 8 weeks after surgery, OA phenotypes were more accelerated in </w:t>
      </w:r>
      <w:proofErr w:type="spellStart"/>
      <w:r w:rsidRPr="00DA27AA">
        <w:rPr>
          <w:rFonts w:ascii="Tw Cen MT" w:eastAsia="Tw Cen MT" w:hAnsi="Tw Cen MT" w:cs="Tw Cen MT"/>
          <w:b w:val="0"/>
          <w:bCs w:val="0"/>
          <w:sz w:val="18"/>
          <w:szCs w:val="18"/>
        </w:rPr>
        <w:t>Cbf</w:t>
      </w:r>
      <w:proofErr w:type="spellEnd"/>
      <w:r w:rsidRPr="00DA27AA">
        <w:rPr>
          <w:rFonts w:ascii="Tw Cen MT" w:eastAsia="Tw Cen MT" w:hAnsi="Tw Cen MT" w:cs="Tw Cen MT"/>
          <w:b w:val="0"/>
          <w:bCs w:val="0"/>
          <w:sz w:val="18"/>
          <w:szCs w:val="18"/>
        </w:rPr>
        <w:t>β</w:t>
      </w:r>
      <w:r w:rsidRPr="00DA27AA">
        <w:rPr>
          <w:rFonts w:ascii="Cambria Math" w:eastAsia="Tw Cen MT" w:hAnsi="Cambria Math" w:cs="Cambria Math"/>
          <w:b w:val="0"/>
          <w:bCs w:val="0"/>
          <w:sz w:val="18"/>
          <w:szCs w:val="18"/>
        </w:rPr>
        <w:t>△</w:t>
      </w:r>
      <w:r w:rsidRPr="00DA27A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ac/</w:t>
      </w:r>
      <w:r w:rsidRPr="00DA27AA">
        <w:rPr>
          <w:rFonts w:ascii="Cambria Math" w:eastAsia="Tw Cen MT" w:hAnsi="Cambria Math" w:cs="Cambria Math"/>
          <w:b w:val="0"/>
          <w:bCs w:val="0"/>
          <w:sz w:val="18"/>
          <w:szCs w:val="18"/>
        </w:rPr>
        <w:t>△</w:t>
      </w:r>
      <w:r w:rsidRPr="00DA27A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ac mice than wild type (WT) mice with increased expression of Mmp13 and decreased expression of Type II collagen. Interestingly, the expression of </w:t>
      </w:r>
      <w:proofErr w:type="spellStart"/>
      <w:r w:rsidRPr="00DA27AA">
        <w:rPr>
          <w:rFonts w:ascii="Tw Cen MT" w:eastAsia="Tw Cen MT" w:hAnsi="Tw Cen MT" w:cs="Tw Cen MT"/>
          <w:b w:val="0"/>
          <w:bCs w:val="0"/>
          <w:sz w:val="18"/>
          <w:szCs w:val="18"/>
        </w:rPr>
        <w:t>Cbf</w:t>
      </w:r>
      <w:proofErr w:type="spellEnd"/>
      <w:r w:rsidRPr="00DA27AA">
        <w:rPr>
          <w:rFonts w:ascii="Segoe Print" w:eastAsia="Tw Cen MT" w:hAnsi="Segoe Print" w:cs="Segoe Print"/>
          <w:b w:val="0"/>
          <w:bCs w:val="0"/>
          <w:sz w:val="18"/>
          <w:szCs w:val="18"/>
        </w:rPr>
        <w:t>β</w:t>
      </w:r>
      <w:r w:rsidRPr="00DA27A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was reduced during aging as determined by </w:t>
      </w:r>
      <w:proofErr w:type="spellStart"/>
      <w:r w:rsidRPr="00DA27AA">
        <w:rPr>
          <w:rFonts w:ascii="Tw Cen MT" w:eastAsia="Tw Cen MT" w:hAnsi="Tw Cen MT" w:cs="Tw Cen MT"/>
          <w:b w:val="0"/>
          <w:bCs w:val="0"/>
          <w:sz w:val="18"/>
          <w:szCs w:val="18"/>
        </w:rPr>
        <w:t>immunohistochemisty</w:t>
      </w:r>
      <w:proofErr w:type="spellEnd"/>
      <w:r w:rsidRPr="00DA27A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Furthermore, at 5 months of age, </w:t>
      </w:r>
      <w:proofErr w:type="spellStart"/>
      <w:r w:rsidRPr="00DA27AA">
        <w:rPr>
          <w:rFonts w:ascii="Tw Cen MT" w:eastAsia="Tw Cen MT" w:hAnsi="Tw Cen MT" w:cs="Tw Cen MT"/>
          <w:b w:val="0"/>
          <w:bCs w:val="0"/>
          <w:sz w:val="18"/>
          <w:szCs w:val="18"/>
        </w:rPr>
        <w:t>Cbf</w:t>
      </w:r>
      <w:proofErr w:type="spellEnd"/>
      <w:r w:rsidRPr="00DA27AA">
        <w:rPr>
          <w:rFonts w:ascii="Tw Cen MT" w:eastAsia="Tw Cen MT" w:hAnsi="Tw Cen MT" w:cs="Tw Cen MT"/>
          <w:b w:val="0"/>
          <w:bCs w:val="0"/>
          <w:sz w:val="18"/>
          <w:szCs w:val="18"/>
        </w:rPr>
        <w:t>β</w:t>
      </w:r>
      <w:r w:rsidRPr="00DA27AA">
        <w:rPr>
          <w:rFonts w:ascii="Cambria Math" w:eastAsia="Tw Cen MT" w:hAnsi="Cambria Math" w:cs="Cambria Math"/>
          <w:b w:val="0"/>
          <w:bCs w:val="0"/>
          <w:sz w:val="18"/>
          <w:szCs w:val="18"/>
          <w:vertAlign w:val="superscript"/>
        </w:rPr>
        <w:t>△</w:t>
      </w:r>
      <w:r w:rsidRPr="00DA27AA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ac/</w:t>
      </w:r>
      <w:r w:rsidRPr="00DA27AA">
        <w:rPr>
          <w:rFonts w:ascii="Cambria Math" w:eastAsia="Tw Cen MT" w:hAnsi="Cambria Math" w:cs="Cambria Math"/>
          <w:b w:val="0"/>
          <w:bCs w:val="0"/>
          <w:sz w:val="18"/>
          <w:szCs w:val="18"/>
          <w:vertAlign w:val="superscript"/>
        </w:rPr>
        <w:t>△</w:t>
      </w:r>
      <w:r w:rsidRPr="00DA27AA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ac</w:t>
      </w:r>
      <w:r w:rsidRPr="00DA27A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mice, but not in WT, exhibited OA naturally without developmental defects in joint and skeletal tissue formation. To explore the molecular mechanism of the protective role of </w:t>
      </w:r>
      <w:proofErr w:type="spellStart"/>
      <w:r w:rsidRPr="00DA27AA">
        <w:rPr>
          <w:rFonts w:ascii="Tw Cen MT" w:eastAsia="Tw Cen MT" w:hAnsi="Tw Cen MT" w:cs="Tw Cen MT"/>
          <w:b w:val="0"/>
          <w:bCs w:val="0"/>
          <w:sz w:val="18"/>
          <w:szCs w:val="18"/>
        </w:rPr>
        <w:t>Cbf</w:t>
      </w:r>
      <w:proofErr w:type="spellEnd"/>
      <w:r w:rsidRPr="00DA27A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β in OA, we measured the expression of chondrocyte markers, </w:t>
      </w:r>
      <w:proofErr w:type="spellStart"/>
      <w:r w:rsidRPr="00DA27AA">
        <w:rPr>
          <w:rFonts w:ascii="Tw Cen MT" w:eastAsia="Tw Cen MT" w:hAnsi="Tw Cen MT" w:cs="Tw Cen MT"/>
          <w:b w:val="0"/>
          <w:bCs w:val="0"/>
          <w:sz w:val="18"/>
          <w:szCs w:val="18"/>
        </w:rPr>
        <w:t>Runx</w:t>
      </w:r>
      <w:proofErr w:type="spellEnd"/>
      <w:r w:rsidRPr="00DA27A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transcription factors, and </w:t>
      </w:r>
      <w:proofErr w:type="spellStart"/>
      <w:r w:rsidRPr="00DA27AA">
        <w:rPr>
          <w:rFonts w:ascii="Tw Cen MT" w:eastAsia="Tw Cen MT" w:hAnsi="Tw Cen MT" w:cs="Tw Cen MT"/>
          <w:b w:val="0"/>
          <w:bCs w:val="0"/>
          <w:sz w:val="18"/>
          <w:szCs w:val="18"/>
        </w:rPr>
        <w:t>Cbf</w:t>
      </w:r>
      <w:proofErr w:type="spellEnd"/>
      <w:r w:rsidRPr="00DA27A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β in articular cartilage. Expression of chondrocyte markers such as type II collagen, </w:t>
      </w:r>
      <w:proofErr w:type="spellStart"/>
      <w:r w:rsidRPr="00DA27AA">
        <w:rPr>
          <w:rFonts w:ascii="Tw Cen MT" w:eastAsia="Tw Cen MT" w:hAnsi="Tw Cen MT" w:cs="Tw Cen MT"/>
          <w:b w:val="0"/>
          <w:bCs w:val="0"/>
          <w:sz w:val="18"/>
          <w:szCs w:val="18"/>
        </w:rPr>
        <w:t>Aggrecan</w:t>
      </w:r>
      <w:proofErr w:type="spellEnd"/>
      <w:r w:rsidRPr="00DA27A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and </w:t>
      </w:r>
      <w:proofErr w:type="spellStart"/>
      <w:r w:rsidRPr="00DA27AA">
        <w:rPr>
          <w:rFonts w:ascii="Tw Cen MT" w:eastAsia="Tw Cen MT" w:hAnsi="Tw Cen MT" w:cs="Tw Cen MT"/>
          <w:b w:val="0"/>
          <w:bCs w:val="0"/>
          <w:sz w:val="18"/>
          <w:szCs w:val="18"/>
        </w:rPr>
        <w:t>Cbf</w:t>
      </w:r>
      <w:proofErr w:type="spellEnd"/>
      <w:r w:rsidRPr="00DA27A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β was attenuated in chondrocytes derived from </w:t>
      </w:r>
      <w:proofErr w:type="spellStart"/>
      <w:r w:rsidRPr="00DA27AA">
        <w:rPr>
          <w:rFonts w:ascii="Tw Cen MT" w:eastAsia="Tw Cen MT" w:hAnsi="Tw Cen MT" w:cs="Tw Cen MT"/>
          <w:b w:val="0"/>
          <w:bCs w:val="0"/>
          <w:sz w:val="18"/>
          <w:szCs w:val="18"/>
        </w:rPr>
        <w:t>Cbf</w:t>
      </w:r>
      <w:proofErr w:type="spellEnd"/>
      <w:r w:rsidRPr="00DA27AA">
        <w:rPr>
          <w:rFonts w:ascii="Tw Cen MT" w:eastAsia="Tw Cen MT" w:hAnsi="Tw Cen MT" w:cs="Tw Cen MT"/>
          <w:b w:val="0"/>
          <w:bCs w:val="0"/>
          <w:sz w:val="18"/>
          <w:szCs w:val="18"/>
        </w:rPr>
        <w:t>β</w:t>
      </w:r>
      <w:r w:rsidRPr="00DA27AA">
        <w:rPr>
          <w:rFonts w:ascii="Cambria Math" w:eastAsia="Tw Cen MT" w:hAnsi="Cambria Math" w:cs="Cambria Math"/>
          <w:b w:val="0"/>
          <w:bCs w:val="0"/>
          <w:sz w:val="18"/>
          <w:szCs w:val="18"/>
          <w:vertAlign w:val="superscript"/>
        </w:rPr>
        <w:t>△</w:t>
      </w:r>
      <w:r w:rsidRPr="00DA27AA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ac/</w:t>
      </w:r>
      <w:r w:rsidRPr="00DA27AA">
        <w:rPr>
          <w:rFonts w:ascii="Cambria Math" w:eastAsia="Tw Cen MT" w:hAnsi="Cambria Math" w:cs="Cambria Math"/>
          <w:b w:val="0"/>
          <w:bCs w:val="0"/>
          <w:sz w:val="18"/>
          <w:szCs w:val="18"/>
          <w:vertAlign w:val="superscript"/>
        </w:rPr>
        <w:t>△</w:t>
      </w:r>
      <w:r w:rsidRPr="00DA27AA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ac</w:t>
      </w:r>
      <w:r w:rsidRPr="00DA27A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OA mice compared to WT mice. Among </w:t>
      </w:r>
      <w:proofErr w:type="spellStart"/>
      <w:r w:rsidRPr="00DA27AA">
        <w:rPr>
          <w:rFonts w:ascii="Tw Cen MT" w:eastAsia="Tw Cen MT" w:hAnsi="Tw Cen MT" w:cs="Tw Cen MT"/>
          <w:b w:val="0"/>
          <w:bCs w:val="0"/>
          <w:sz w:val="18"/>
          <w:szCs w:val="18"/>
        </w:rPr>
        <w:t>Runx</w:t>
      </w:r>
      <w:proofErr w:type="spellEnd"/>
      <w:r w:rsidRPr="00DA27A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family, Runx1, but not Runx2 and Runx3, was highly expressed in </w:t>
      </w:r>
      <w:proofErr w:type="spellStart"/>
      <w:r w:rsidRPr="00DA27AA">
        <w:rPr>
          <w:rFonts w:ascii="Tw Cen MT" w:eastAsia="Tw Cen MT" w:hAnsi="Tw Cen MT" w:cs="Tw Cen MT"/>
          <w:b w:val="0"/>
          <w:bCs w:val="0"/>
          <w:sz w:val="18"/>
          <w:szCs w:val="18"/>
        </w:rPr>
        <w:t>articular</w:t>
      </w:r>
      <w:proofErr w:type="spellEnd"/>
      <w:r w:rsidRPr="00DA27A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chondrocytes. Expression of Runx1 was gradually decreased during OA progression in WT mice. Importantly, Runx1 expression was further diminished in </w:t>
      </w:r>
      <w:proofErr w:type="spellStart"/>
      <w:r w:rsidRPr="00DA27AA">
        <w:rPr>
          <w:rFonts w:ascii="Tw Cen MT" w:eastAsia="Tw Cen MT" w:hAnsi="Tw Cen MT" w:cs="Tw Cen MT"/>
          <w:b w:val="0"/>
          <w:bCs w:val="0"/>
          <w:sz w:val="18"/>
          <w:szCs w:val="18"/>
        </w:rPr>
        <w:t>Cbf</w:t>
      </w:r>
      <w:proofErr w:type="spellEnd"/>
      <w:r w:rsidRPr="00DA27AA">
        <w:rPr>
          <w:rFonts w:ascii="Tw Cen MT" w:eastAsia="Tw Cen MT" w:hAnsi="Tw Cen MT" w:cs="Tw Cen MT"/>
          <w:b w:val="0"/>
          <w:bCs w:val="0"/>
          <w:sz w:val="18"/>
          <w:szCs w:val="18"/>
        </w:rPr>
        <w:t>β</w:t>
      </w:r>
      <w:r w:rsidRPr="00DA27AA">
        <w:rPr>
          <w:rFonts w:ascii="Cambria Math" w:eastAsia="Tw Cen MT" w:hAnsi="Cambria Math" w:cs="Cambria Math"/>
          <w:b w:val="0"/>
          <w:bCs w:val="0"/>
          <w:sz w:val="18"/>
          <w:szCs w:val="18"/>
          <w:vertAlign w:val="superscript"/>
        </w:rPr>
        <w:t>△</w:t>
      </w:r>
      <w:r w:rsidRPr="00DA27AA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ac/</w:t>
      </w:r>
      <w:r w:rsidRPr="00DA27AA">
        <w:rPr>
          <w:rFonts w:ascii="Cambria Math" w:eastAsia="Tw Cen MT" w:hAnsi="Cambria Math" w:cs="Cambria Math"/>
          <w:b w:val="0"/>
          <w:bCs w:val="0"/>
          <w:sz w:val="18"/>
          <w:szCs w:val="18"/>
          <w:vertAlign w:val="superscript"/>
        </w:rPr>
        <w:t>△</w:t>
      </w:r>
      <w:r w:rsidRPr="00DA27AA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ac</w:t>
      </w:r>
      <w:r w:rsidRPr="00DA27A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OA mice. </w:t>
      </w:r>
      <w:proofErr w:type="spellStart"/>
      <w:r w:rsidRPr="00DA27AA">
        <w:rPr>
          <w:rFonts w:ascii="Tw Cen MT" w:eastAsia="Tw Cen MT" w:hAnsi="Tw Cen MT" w:cs="Tw Cen MT"/>
          <w:b w:val="0"/>
          <w:bCs w:val="0"/>
          <w:sz w:val="18"/>
          <w:szCs w:val="18"/>
        </w:rPr>
        <w:t>Cbf</w:t>
      </w:r>
      <w:proofErr w:type="spellEnd"/>
      <w:r w:rsidRPr="00DA27AA">
        <w:rPr>
          <w:rFonts w:ascii="Segoe Print" w:eastAsia="Tw Cen MT" w:hAnsi="Segoe Print" w:cs="Segoe Print"/>
          <w:b w:val="0"/>
          <w:bCs w:val="0"/>
          <w:sz w:val="18"/>
          <w:szCs w:val="18"/>
        </w:rPr>
        <w:t>β</w:t>
      </w:r>
      <w:r w:rsidRPr="00DA27A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formed a complex with Runx1 and protected Runx1 from </w:t>
      </w:r>
      <w:proofErr w:type="spellStart"/>
      <w:r w:rsidRPr="00DA27AA">
        <w:rPr>
          <w:rFonts w:ascii="Tw Cen MT" w:eastAsia="Tw Cen MT" w:hAnsi="Tw Cen MT" w:cs="Tw Cen MT"/>
          <w:b w:val="0"/>
          <w:bCs w:val="0"/>
          <w:sz w:val="18"/>
          <w:szCs w:val="18"/>
        </w:rPr>
        <w:t>proteosomal</w:t>
      </w:r>
      <w:proofErr w:type="spellEnd"/>
      <w:r w:rsidRPr="00DA27A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degradation in primary articular chondrocytes as well as in ATDC5 cells. Consistently, forced expression of </w:t>
      </w:r>
      <w:proofErr w:type="spellStart"/>
      <w:r w:rsidRPr="00DA27AA">
        <w:rPr>
          <w:rFonts w:ascii="Tw Cen MT" w:eastAsia="Tw Cen MT" w:hAnsi="Tw Cen MT" w:cs="Tw Cen MT"/>
          <w:b w:val="0"/>
          <w:bCs w:val="0"/>
          <w:sz w:val="18"/>
          <w:szCs w:val="18"/>
        </w:rPr>
        <w:t>Cbf</w:t>
      </w:r>
      <w:proofErr w:type="spellEnd"/>
      <w:r w:rsidRPr="00DA27AA">
        <w:rPr>
          <w:rFonts w:ascii="Segoe Print" w:eastAsia="Tw Cen MT" w:hAnsi="Segoe Print" w:cs="Segoe Print"/>
          <w:b w:val="0"/>
          <w:bCs w:val="0"/>
          <w:sz w:val="18"/>
          <w:szCs w:val="18"/>
        </w:rPr>
        <w:t>β</w:t>
      </w:r>
      <w:r w:rsidRPr="00DA27A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 </w:t>
      </w:r>
      <w:proofErr w:type="spellStart"/>
      <w:r w:rsidRPr="00DA27AA">
        <w:rPr>
          <w:rFonts w:ascii="Tw Cen MT" w:eastAsia="Tw Cen MT" w:hAnsi="Tw Cen MT" w:cs="Tw Cen MT"/>
          <w:b w:val="0"/>
          <w:bCs w:val="0"/>
          <w:sz w:val="18"/>
          <w:szCs w:val="18"/>
        </w:rPr>
        <w:t>Cbf</w:t>
      </w:r>
      <w:proofErr w:type="spellEnd"/>
      <w:r w:rsidRPr="00DA27AA">
        <w:rPr>
          <w:rFonts w:ascii="Segoe Print" w:eastAsia="Tw Cen MT" w:hAnsi="Segoe Print" w:cs="Segoe Print"/>
          <w:b w:val="0"/>
          <w:bCs w:val="0"/>
          <w:sz w:val="18"/>
          <w:szCs w:val="18"/>
        </w:rPr>
        <w:t>β</w:t>
      </w:r>
      <w:r w:rsidRPr="00DA27A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-deficient primary articular chondrocytes restored the chondrocyte markers and Runx1 expression. Collectively, these results demonstrate that </w:t>
      </w:r>
      <w:proofErr w:type="spellStart"/>
      <w:r w:rsidRPr="00DA27AA">
        <w:rPr>
          <w:rFonts w:ascii="Tw Cen MT" w:eastAsia="Tw Cen MT" w:hAnsi="Tw Cen MT" w:cs="Tw Cen MT"/>
          <w:b w:val="0"/>
          <w:bCs w:val="0"/>
          <w:sz w:val="18"/>
          <w:szCs w:val="18"/>
        </w:rPr>
        <w:t>Cbf</w:t>
      </w:r>
      <w:proofErr w:type="spellEnd"/>
      <w:r w:rsidRPr="00DA27A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β is required for Runx1 stability as a partner protein in articular cartilage and that the formation of the </w:t>
      </w:r>
      <w:proofErr w:type="spellStart"/>
      <w:r w:rsidRPr="00DA27AA">
        <w:rPr>
          <w:rFonts w:ascii="Tw Cen MT" w:eastAsia="Tw Cen MT" w:hAnsi="Tw Cen MT" w:cs="Tw Cen MT"/>
          <w:b w:val="0"/>
          <w:bCs w:val="0"/>
          <w:sz w:val="18"/>
          <w:szCs w:val="18"/>
        </w:rPr>
        <w:t>Cbf</w:t>
      </w:r>
      <w:proofErr w:type="spellEnd"/>
      <w:r w:rsidRPr="00DA27AA">
        <w:rPr>
          <w:rFonts w:ascii="Tw Cen MT" w:eastAsia="Tw Cen MT" w:hAnsi="Tw Cen MT" w:cs="Tw Cen MT"/>
          <w:b w:val="0"/>
          <w:bCs w:val="0"/>
          <w:sz w:val="18"/>
          <w:szCs w:val="18"/>
        </w:rPr>
        <w:t>β-Runx1 complex plays an essential role for maintenance of articular cartilage integrity.</w:t>
      </w:r>
      <w:r w:rsidR="009962A1"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C06A7C" id="Line 3" o:spid="_x0000_s1026" style="position:absolute;left:0;text-align:lef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" strokecolor="#004080" strokeweight=".5pt">
                <w10:wrap type="topAndBottom" anchorx="page"/>
              </v:line>
            </w:pict>
          </mc:Fallback>
        </mc:AlternateContent>
      </w:r>
      <w:bookmarkStart w:id="0" w:name="_GoBack"/>
      <w:bookmarkEnd w:id="0"/>
    </w:p>
    <w:sectPr w:rsidR="00FD027B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62A1" w:rsidRDefault="009962A1">
      <w:pPr>
        <w:spacing w:after="0" w:line="240" w:lineRule="auto"/>
      </w:pPr>
      <w:r>
        <w:separator/>
      </w:r>
    </w:p>
  </w:endnote>
  <w:endnote w:type="continuationSeparator" w:id="0">
    <w:p w:rsidR="009962A1" w:rsidRDefault="009962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w Cen MT">
    <w:altName w:val="Segoe Print"/>
    <w:charset w:val="00"/>
    <w:family w:val="swiss"/>
    <w:pitch w:val="default"/>
    <w:sig w:usb0="00000000" w:usb1="00000000" w:usb2="00000000" w:usb3="00000000" w:csb0="00000003" w:csb1="00000000"/>
  </w:font>
  <w:font w:name="Minion Pro">
    <w:altName w:val="Cambria Math"/>
    <w:charset w:val="00"/>
    <w:family w:val="roman"/>
    <w:pitch w:val="default"/>
    <w:sig w:usb0="00000000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charset w:val="00"/>
    <w:family w:val="swiss"/>
    <w:pitch w:val="default"/>
    <w:sig w:usb0="00000000" w:usb1="00000000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027B" w:rsidRDefault="009962A1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FD027B" w:rsidRDefault="009962A1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FD027B" w:rsidRDefault="009962A1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left:0;text-align:left;margin-left:35pt;margin-top:798.8pt;width:168.2pt;height:19.6pt;z-index:-251658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" filled="f" stroked="f">
              <v:textbox inset="0,0,0,0">
                <w:txbxContent>
                  <w:p w:rsidR="00FD027B" w:rsidRDefault="009962A1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FD027B" w:rsidRDefault="009962A1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FD027B" w:rsidRDefault="009962A1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FD027B" w:rsidRDefault="009962A1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2" o:spid="_x0000_s1029" type="#_x0000_t202" style="position:absolute;left:0;text-align:left;margin-left:252.1pt;margin-top:799.05pt;width:91.9pt;height:24.95pt;z-index:-251657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FlA33e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:rsidR="00FD027B" w:rsidRDefault="009962A1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FD027B" w:rsidRDefault="009962A1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2516597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FD027B" w:rsidRDefault="009962A1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FD027B" w:rsidRDefault="009962A1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30" type="#_x0000_t202" style="position:absolute;left:0;text-align:left;margin-left:468.9pt;margin-top:798.8pt;width:91.4pt;height:26.05pt;z-index:-2516567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fVEme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:rsidR="00FD027B" w:rsidRDefault="009962A1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FD027B" w:rsidRDefault="009962A1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62A1" w:rsidRDefault="009962A1">
      <w:pPr>
        <w:spacing w:after="0" w:line="240" w:lineRule="auto"/>
      </w:pPr>
      <w:r>
        <w:separator/>
      </w:r>
    </w:p>
  </w:footnote>
  <w:footnote w:type="continuationSeparator" w:id="0">
    <w:p w:rsidR="009962A1" w:rsidRDefault="009962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027B" w:rsidRDefault="009962A1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2516556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FD027B" w:rsidRDefault="009962A1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416pt;margin-top:26.05pt;width:144.3pt;height:17.4pt;z-index:-2516608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" filled="f" stroked="f">
              <v:textbox inset="0,0,0,0">
                <w:txbxContent>
                  <w:p w:rsidR="00FD027B" w:rsidRDefault="009962A1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2516567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FD027B" w:rsidRDefault="009962A1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FD027B" w:rsidRDefault="009962A1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4" o:spid="_x0000_s1027" type="#_x0000_t202" style="position:absolute;left:0;text-align:left;margin-left:35pt;margin-top:48.3pt;width:515.95pt;height:40.1pt;z-index:-2516597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" filled="f" stroked="f">
              <v:textbox inset="0,0,0,0">
                <w:txbxContent>
                  <w:p w:rsidR="00FD027B" w:rsidRDefault="009962A1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FD027B" w:rsidRDefault="009962A1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multilevel"/>
    <w:tmpl w:val="31C80552"/>
    <w:lvl w:ilvl="0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E763C"/>
    <w:rsid w:val="00292ED9"/>
    <w:rsid w:val="00314AFB"/>
    <w:rsid w:val="003B76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8738A"/>
    <w:rsid w:val="00873DF0"/>
    <w:rsid w:val="008756E6"/>
    <w:rsid w:val="009962A1"/>
    <w:rsid w:val="009B2D44"/>
    <w:rsid w:val="00A07E82"/>
    <w:rsid w:val="00A9710C"/>
    <w:rsid w:val="00AE3E37"/>
    <w:rsid w:val="00B21A57"/>
    <w:rsid w:val="00C33602"/>
    <w:rsid w:val="00CD6F55"/>
    <w:rsid w:val="00D62425"/>
    <w:rsid w:val="00DA27AA"/>
    <w:rsid w:val="00DE3104"/>
    <w:rsid w:val="00F72EEA"/>
    <w:rsid w:val="00F8136A"/>
    <w:rsid w:val="00F84CAE"/>
    <w:rsid w:val="00FD027B"/>
    <w:rsid w:val="4C1D61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1F270A32-597B-4EF0-9CB1-AF3D114A9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바탕" w:hAnsiTheme="minorHAnsi" w:cstheme="minorBidi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</w:pPr>
    <w:rPr>
      <w:rFonts w:ascii="Tw Cen MT" w:eastAsia="Tw Cen MT" w:hAnsi="Tw Cen MT" w:cs="Tw Cen MT"/>
      <w:sz w:val="22"/>
      <w:szCs w:val="22"/>
      <w:lang w:eastAsia="en-US"/>
    </w:rPr>
  </w:style>
  <w:style w:type="paragraph" w:styleId="1">
    <w:name w:val="heading 1"/>
    <w:basedOn w:val="a"/>
    <w:next w:val="a"/>
    <w:uiPriority w:val="1"/>
    <w:qFormat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next w:val="a"/>
    <w:uiPriority w:val="1"/>
    <w:qFormat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next w:val="a"/>
    <w:uiPriority w:val="1"/>
    <w:qFormat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Pr>
      <w:sz w:val="18"/>
      <w:szCs w:val="18"/>
    </w:rPr>
  </w:style>
  <w:style w:type="paragraph" w:styleId="a4">
    <w:name w:val="Balloon Text"/>
    <w:basedOn w:val="a"/>
    <w:link w:val="Char0"/>
    <w:uiPriority w:val="99"/>
    <w:semiHidden/>
    <w:unhideWhenUsed/>
    <w:rPr>
      <w:rFonts w:ascii="Tahoma" w:hAnsi="Tahoma" w:cs="Tahoma"/>
      <w:sz w:val="16"/>
      <w:szCs w:val="16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513"/>
        <w:tab w:val="right" w:pos="9026"/>
      </w:tabs>
    </w:pPr>
  </w:style>
  <w:style w:type="paragraph" w:styleId="a6">
    <w:name w:val="header"/>
    <w:basedOn w:val="a"/>
    <w:link w:val="Char2"/>
    <w:uiPriority w:val="99"/>
    <w:unhideWhenUsed/>
    <w:pPr>
      <w:tabs>
        <w:tab w:val="center" w:pos="4513"/>
        <w:tab w:val="right" w:pos="9026"/>
      </w:tabs>
    </w:pPr>
  </w:style>
  <w:style w:type="character" w:styleId="a7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8">
    <w:name w:val="List Paragraph"/>
    <w:basedOn w:val="a"/>
    <w:uiPriority w:val="1"/>
    <w:qFormat/>
    <w:pPr>
      <w:spacing w:before="90" w:line="200" w:lineRule="exact"/>
      <w:ind w:left="383" w:hanging="283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</w:style>
  <w:style w:type="character" w:customStyle="1" w:styleId="Char2">
    <w:name w:val="머리글 Char"/>
    <w:basedOn w:val="a0"/>
    <w:link w:val="a6"/>
    <w:uiPriority w:val="99"/>
    <w:rPr>
      <w:rFonts w:ascii="Tw Cen MT" w:eastAsia="Tw Cen MT" w:hAnsi="Tw Cen MT" w:cs="Tw Cen MT"/>
    </w:rPr>
  </w:style>
  <w:style w:type="character" w:customStyle="1" w:styleId="Char1">
    <w:name w:val="바닥글 Char"/>
    <w:basedOn w:val="a0"/>
    <w:link w:val="a5"/>
    <w:uiPriority w:val="99"/>
    <w:qFormat/>
    <w:rPr>
      <w:rFonts w:ascii="Tw Cen MT" w:eastAsia="Tw Cen MT" w:hAnsi="Tw Cen MT" w:cs="Tw Cen MT"/>
    </w:rPr>
  </w:style>
  <w:style w:type="character" w:customStyle="1" w:styleId="Char0">
    <w:name w:val="풍선 도움말 텍스트 Char"/>
    <w:basedOn w:val="a0"/>
    <w:link w:val="a4"/>
    <w:uiPriority w:val="99"/>
    <w:semiHidden/>
    <w:qFormat/>
    <w:rPr>
      <w:rFonts w:ascii="Tahoma" w:eastAsia="Tw Cen MT" w:hAnsi="Tahoma" w:cs="Tahoma"/>
      <w:sz w:val="16"/>
      <w:szCs w:val="16"/>
    </w:rPr>
  </w:style>
  <w:style w:type="character" w:customStyle="1" w:styleId="Char">
    <w:name w:val="본문 Char"/>
    <w:basedOn w:val="a0"/>
    <w:link w:val="a3"/>
    <w:uiPriority w:val="1"/>
    <w:qFormat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362</Words>
  <Characters>2064</Characters>
  <Application>Microsoft Office Word</Application>
  <DocSecurity>0</DocSecurity>
  <Lines>17</Lines>
  <Paragraphs>4</Paragraphs>
  <ScaleCrop>false</ScaleCrop>
  <Company>Microsoft</Company>
  <LinksUpToDate>false</LinksUpToDate>
  <CharactersWithSpaces>2422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chexiangguo</cp:lastModifiedBy>
  <cp:revision>5</cp:revision>
  <dcterms:created xsi:type="dcterms:W3CDTF">2016-08-31T13:10:00Z</dcterms:created>
  <dcterms:modified xsi:type="dcterms:W3CDTF">2019-06-09T07:52:00Z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  <property fmtid="{D5CDD505-2E9C-101B-9397-08002B2CF9AE}" pid="5" name="KSOProductBuildVer">
    <vt:lpwstr>2052-11.1.0.8696</vt:lpwstr>
  </property>
</Properties>
</file>