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440" w:rsidRPr="00B711C5" w:rsidRDefault="001C2440" w:rsidP="001C2440">
      <w:pPr>
        <w:bidi w:val="0"/>
        <w:spacing w:after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A Management protocol for hip migration and contralateral contained hip</w:t>
      </w:r>
      <w:r w:rsidRPr="00B711C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in non-ambulatory children with Spastic Cerebral Palsy. A prospective case series study.</w:t>
      </w:r>
    </w:p>
    <w:p w:rsidR="001C2440" w:rsidRPr="00B711C5" w:rsidRDefault="001C2440" w:rsidP="001C2440">
      <w:pPr>
        <w:bidi w:val="0"/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C2440" w:rsidRPr="00B711C5" w:rsidRDefault="001C2440" w:rsidP="001C2440">
      <w:pPr>
        <w:bidi w:val="0"/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1C2440" w:rsidRPr="00B711C5" w:rsidRDefault="001C2440" w:rsidP="001C2440">
      <w:pPr>
        <w:widowControl w:val="0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711C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Abstract</w:t>
      </w:r>
    </w:p>
    <w:p w:rsidR="001C2440" w:rsidRPr="00B711C5" w:rsidRDefault="001C2440" w:rsidP="001C2440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711C5">
        <w:rPr>
          <w:rFonts w:asciiTheme="majorBidi" w:hAnsiTheme="majorBidi" w:cstheme="majorBidi"/>
          <w:color w:val="000000" w:themeColor="text1"/>
          <w:sz w:val="32"/>
          <w:szCs w:val="32"/>
        </w:rPr>
        <w:t>The</w:t>
      </w:r>
      <w:r w:rsidRPr="00B711C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Purpose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of this study is to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establish the management protocol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</w:rPr>
        <w:t>of hip migration in non-ambulatory children with Spastic Cerebral Palsy (CP).</w:t>
      </w:r>
    </w:p>
    <w:p w:rsidR="001C2440" w:rsidRPr="00B711C5" w:rsidRDefault="001C2440" w:rsidP="001C2440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1C2440" w:rsidRPr="00B711C5" w:rsidRDefault="001C2440" w:rsidP="001C2440">
      <w:pPr>
        <w:bidi w:val="0"/>
        <w:spacing w:before="120" w:after="0" w:line="360" w:lineRule="auto"/>
        <w:ind w:left="100"/>
        <w:rPr>
          <w:rFonts w:asciiTheme="majorBidi" w:hAnsiTheme="majorBidi" w:cstheme="majorBidi"/>
          <w:sz w:val="32"/>
          <w:szCs w:val="32"/>
          <w:u w:color="000000"/>
        </w:rPr>
      </w:pPr>
      <w:r w:rsidRPr="00B711C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Materials and Methods </w:t>
      </w:r>
      <w:r w:rsidRPr="00B711C5">
        <w:rPr>
          <w:rFonts w:asciiTheme="majorBidi" w:hAnsiTheme="majorBidi" w:cstheme="majorBidi"/>
          <w:sz w:val="32"/>
          <w:szCs w:val="32"/>
          <w:lang w:bidi="ar-EG"/>
        </w:rPr>
        <w:t xml:space="preserve">This prospective non-randomized case series study </w:t>
      </w:r>
      <w:r w:rsidRPr="00B711C5">
        <w:rPr>
          <w:rFonts w:asciiTheme="majorBidi" w:eastAsia="Georgia" w:hAnsiTheme="majorBidi" w:cstheme="majorBidi"/>
          <w:sz w:val="32"/>
          <w:szCs w:val="32"/>
        </w:rPr>
        <w:t>was done on 26 patients (52 hips); 15 males and 11 females.</w:t>
      </w:r>
    </w:p>
    <w:p w:rsidR="001C2440" w:rsidRPr="00B711C5" w:rsidRDefault="001C2440" w:rsidP="001C2440">
      <w:pPr>
        <w:bidi w:val="0"/>
        <w:spacing w:before="120" w:after="0" w:line="360" w:lineRule="auto"/>
        <w:ind w:left="100"/>
        <w:rPr>
          <w:rFonts w:asciiTheme="majorBidi" w:eastAsia="Georgia" w:hAnsiTheme="majorBidi" w:cstheme="majorBidi"/>
          <w:sz w:val="32"/>
          <w:szCs w:val="32"/>
        </w:rPr>
      </w:pPr>
      <w:r w:rsidRPr="00B711C5">
        <w:rPr>
          <w:rFonts w:asciiTheme="majorBidi" w:hAnsiTheme="majorBidi" w:cstheme="majorBidi"/>
          <w:sz w:val="32"/>
          <w:szCs w:val="32"/>
          <w:u w:color="000000"/>
        </w:rPr>
        <w:t>8 cases were bilaterally affected, while 18 cases were unilaterally affected of which 6 cases presented with windswept deformity</w:t>
      </w:r>
      <w:r w:rsidRPr="00B711C5">
        <w:rPr>
          <w:rFonts w:asciiTheme="majorBidi" w:eastAsia="Georgia" w:hAnsiTheme="majorBidi" w:cstheme="majorBidi"/>
          <w:sz w:val="32"/>
          <w:szCs w:val="32"/>
        </w:rPr>
        <w:t>.</w:t>
      </w:r>
      <w:r w:rsidRPr="00B711C5">
        <w:rPr>
          <w:rFonts w:asciiTheme="majorBidi" w:hAnsiTheme="majorBidi" w:cstheme="majorBidi"/>
          <w:sz w:val="32"/>
          <w:szCs w:val="32"/>
          <w:u w:color="000000"/>
        </w:rPr>
        <w:t xml:space="preserve"> 23 hips were dislocated while 11were subluxated.</w:t>
      </w:r>
    </w:p>
    <w:p w:rsidR="001C2440" w:rsidRPr="00B711C5" w:rsidRDefault="001C2440" w:rsidP="001C2440">
      <w:pPr>
        <w:bidi w:val="0"/>
        <w:spacing w:before="120" w:after="0" w:line="360" w:lineRule="auto"/>
        <w:ind w:left="100"/>
        <w:rPr>
          <w:rFonts w:asciiTheme="majorBidi" w:eastAsia="Georgia" w:hAnsiTheme="majorBidi" w:cstheme="majorBidi"/>
          <w:sz w:val="32"/>
          <w:szCs w:val="32"/>
        </w:rPr>
      </w:pPr>
      <w:r w:rsidRPr="00B711C5">
        <w:rPr>
          <w:rFonts w:asciiTheme="majorBidi" w:hAnsiTheme="majorBidi" w:cstheme="majorBidi"/>
          <w:sz w:val="32"/>
          <w:szCs w:val="32"/>
          <w:u w:color="000000"/>
        </w:rPr>
        <w:t>The mean age at the time of surgery was 8.11 years (range, 4 to 14 years) and the mean follow-up period was 36.8 months (range, 24 to 48 months)</w:t>
      </w:r>
      <w:r w:rsidRPr="00B711C5">
        <w:rPr>
          <w:rFonts w:asciiTheme="majorBidi" w:eastAsia="Georgia" w:hAnsiTheme="majorBidi" w:cstheme="majorBidi"/>
          <w:sz w:val="32"/>
          <w:szCs w:val="32"/>
        </w:rPr>
        <w:t>.</w:t>
      </w:r>
    </w:p>
    <w:p w:rsidR="001C2440" w:rsidRPr="00B711C5" w:rsidRDefault="001C2440" w:rsidP="001C2440">
      <w:pPr>
        <w:bidi w:val="0"/>
        <w:spacing w:before="120" w:after="0" w:line="360" w:lineRule="auto"/>
        <w:ind w:left="100"/>
        <w:rPr>
          <w:rFonts w:asciiTheme="majorBidi" w:eastAsia="Georgia" w:hAnsiTheme="majorBidi" w:cstheme="majorBidi"/>
          <w:sz w:val="32"/>
          <w:szCs w:val="32"/>
        </w:rPr>
      </w:pP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All patients underwent femoral </w:t>
      </w:r>
      <w:proofErr w:type="spellStart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varus</w:t>
      </w:r>
      <w:proofErr w:type="spellEnd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</w:t>
      </w:r>
      <w:proofErr w:type="spellStart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derotation</w:t>
      </w:r>
      <w:proofErr w:type="spellEnd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osteotomy (VDRO), San Diego osteotomy, adductor and iliopsoas soft tissue release on the affected side. The </w:t>
      </w:r>
      <w:r w:rsidRPr="00B711C5">
        <w:rPr>
          <w:rFonts w:asciiTheme="majorBidi" w:hAnsiTheme="majorBidi" w:cstheme="majorBidi"/>
          <w:sz w:val="32"/>
          <w:szCs w:val="32"/>
          <w:u w:color="000000"/>
        </w:rPr>
        <w:t xml:space="preserve">contra-lateral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hip whether contained or migrated was addressed by combined VDRO with soft tissue release to achieve pelvic symmetry.</w:t>
      </w:r>
    </w:p>
    <w:p w:rsidR="001C2440" w:rsidRPr="00B711C5" w:rsidRDefault="001C2440" w:rsidP="001C2440">
      <w:pPr>
        <w:widowControl w:val="0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1C2440" w:rsidRPr="00B711C5" w:rsidRDefault="001C2440" w:rsidP="001C2440">
      <w:pPr>
        <w:pStyle w:val="Default"/>
        <w:spacing w:before="120" w:line="360" w:lineRule="auto"/>
        <w:rPr>
          <w:rFonts w:asciiTheme="majorBidi" w:eastAsia="Georgia" w:hAnsiTheme="majorBidi" w:cstheme="majorBidi"/>
          <w:color w:val="000000" w:themeColor="text1"/>
          <w:sz w:val="32"/>
          <w:szCs w:val="32"/>
          <w:bdr w:val="none" w:sz="0" w:space="0" w:color="auto"/>
        </w:rPr>
      </w:pPr>
      <w:r w:rsidRPr="00B711C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Results</w:t>
      </w: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  <w:bdr w:val="none" w:sz="0" w:space="0" w:color="auto"/>
        </w:rPr>
        <w:t xml:space="preserve"> Clinically ,there was improvement in hip flexion deformity angle and Hip abduction range.</w:t>
      </w:r>
    </w:p>
    <w:p w:rsidR="001C2440" w:rsidRPr="00B711C5" w:rsidRDefault="001C2440" w:rsidP="001C2440">
      <w:pPr>
        <w:pStyle w:val="Default"/>
        <w:spacing w:before="120" w:line="360" w:lineRule="auto"/>
        <w:rPr>
          <w:rFonts w:asciiTheme="majorBidi" w:eastAsia="Georgia" w:hAnsiTheme="majorBidi" w:cstheme="majorBidi"/>
          <w:color w:val="000000" w:themeColor="text1"/>
          <w:sz w:val="32"/>
          <w:szCs w:val="32"/>
          <w:bdr w:val="none" w:sz="0" w:space="0" w:color="auto"/>
        </w:rPr>
      </w:pP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  <w:bdr w:val="none" w:sz="0" w:space="0" w:color="auto"/>
        </w:rPr>
        <w:t>Modified CPCHILD score showed improvement from average of 59.4 preoperatively to average of 94.1 postoperatively.</w:t>
      </w:r>
    </w:p>
    <w:p w:rsidR="001C2440" w:rsidRPr="00B711C5" w:rsidRDefault="001C2440" w:rsidP="001C2440">
      <w:pPr>
        <w:bidi w:val="0"/>
        <w:spacing w:before="120" w:after="0" w:line="360" w:lineRule="auto"/>
        <w:ind w:right="60"/>
        <w:rPr>
          <w:rFonts w:asciiTheme="majorBidi" w:eastAsia="Georgia" w:hAnsiTheme="majorBidi" w:cstheme="majorBidi"/>
          <w:color w:val="000000" w:themeColor="text1"/>
          <w:sz w:val="32"/>
          <w:szCs w:val="32"/>
        </w:rPr>
      </w:pP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</w:rPr>
        <w:t xml:space="preserve">Mean Migration percentage improved from 61.1% preoperative to 3.2 % postoperative.  The mean acetabular index improved from </w:t>
      </w:r>
      <w:r w:rsidRPr="00B711C5">
        <w:rPr>
          <w:rFonts w:asciiTheme="majorBidi" w:hAnsiTheme="majorBidi" w:cstheme="majorBidi"/>
          <w:sz w:val="32"/>
          <w:szCs w:val="32"/>
        </w:rPr>
        <w:t xml:space="preserve">32.7 </w:t>
      </w: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</w:rPr>
        <w:t xml:space="preserve">degrees preoperative to </w:t>
      </w:r>
      <w:r w:rsidRPr="00B711C5">
        <w:rPr>
          <w:rFonts w:asciiTheme="majorBidi" w:hAnsiTheme="majorBidi" w:cstheme="majorBidi"/>
          <w:sz w:val="32"/>
          <w:szCs w:val="32"/>
        </w:rPr>
        <w:t>25.0</w:t>
      </w: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</w:rPr>
        <w:t xml:space="preserve"> postoperative.</w:t>
      </w:r>
    </w:p>
    <w:p w:rsidR="001C2440" w:rsidRPr="001C3BB3" w:rsidRDefault="001C2440" w:rsidP="001C2440">
      <w:pPr>
        <w:pStyle w:val="Default"/>
        <w:spacing w:before="120" w:line="360" w:lineRule="auto"/>
        <w:rPr>
          <w:rFonts w:asciiTheme="majorBidi" w:eastAsia="Georgia" w:hAnsiTheme="majorBidi" w:cstheme="majorBidi"/>
          <w:color w:val="000000" w:themeColor="text1"/>
          <w:sz w:val="32"/>
          <w:szCs w:val="32"/>
          <w:u w:color="000000"/>
        </w:rPr>
      </w:pP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  <w:u w:color="000000"/>
        </w:rPr>
        <w:t xml:space="preserve">Pelvic symmetry was achieved with horizontal pelvic obliquity angle in all our cases being &lt; 15 degrees  as  we operated on contra-lateral side with same angle of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VDRO</w:t>
      </w: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  <w:u w:color="000000"/>
        </w:rPr>
        <w:t xml:space="preserve"> as affected side, this resulted in painless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comfortable sitting, with stable leveled pelvis </w:t>
      </w: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  <w:u w:color="000000"/>
        </w:rPr>
        <w:t>and equal limb length.</w:t>
      </w:r>
    </w:p>
    <w:p w:rsidR="001C2440" w:rsidRPr="00B711C5" w:rsidRDefault="001C2440" w:rsidP="001C2440">
      <w:pPr>
        <w:pStyle w:val="Body"/>
        <w:spacing w:before="120" w:line="360" w:lineRule="auto"/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</w:pPr>
      <w:r w:rsidRPr="00B711C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Conclusion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Femoral </w:t>
      </w:r>
      <w:proofErr w:type="spellStart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varus</w:t>
      </w:r>
      <w:proofErr w:type="spellEnd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</w:t>
      </w:r>
      <w:proofErr w:type="spellStart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derotation</w:t>
      </w:r>
      <w:proofErr w:type="spellEnd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osteotomy and San-Diego pelvic osteotomy</w:t>
      </w:r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with soft tissue release</w:t>
      </w:r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on the affected side combined with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</w:t>
      </w:r>
      <w:proofErr w:type="spellStart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varus</w:t>
      </w:r>
      <w:proofErr w:type="spellEnd"/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derotation</w:t>
      </w:r>
      <w:proofErr w:type="spellEnd"/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osteotomy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with soft tissue release </w:t>
      </w:r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on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>the contra-lateral contained hip</w:t>
      </w:r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is mandatory to </w:t>
      </w:r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achieve 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pelvic symmetry,</w:t>
      </w:r>
      <w:r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</w:t>
      </w:r>
      <w:r w:rsidRPr="00B711C5">
        <w:rPr>
          <w:rFonts w:asciiTheme="majorBidi" w:eastAsia="Georgia" w:hAnsiTheme="majorBidi" w:cstheme="majorBidi"/>
          <w:color w:val="000000" w:themeColor="text1"/>
          <w:sz w:val="32"/>
          <w:szCs w:val="32"/>
          <w:u w:color="000000"/>
        </w:rPr>
        <w:t>equal limb length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and painless sitting balance.</w:t>
      </w:r>
    </w:p>
    <w:p w:rsidR="001C2440" w:rsidRPr="00B711C5" w:rsidRDefault="001C2440" w:rsidP="001C2440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</w:pPr>
    </w:p>
    <w:p w:rsidR="001C2440" w:rsidRPr="00B711C5" w:rsidRDefault="001C2440" w:rsidP="001C2440">
      <w:pPr>
        <w:widowControl w:val="0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</w:pPr>
      <w:r w:rsidRPr="00B711C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Keywords</w:t>
      </w:r>
      <w:r w:rsidRPr="00B711C5">
        <w:rPr>
          <w:rFonts w:asciiTheme="majorBidi" w:hAnsiTheme="majorBidi" w:cstheme="majorBidi"/>
          <w:color w:val="000000" w:themeColor="text1"/>
          <w:sz w:val="32"/>
          <w:szCs w:val="32"/>
          <w:u w:color="000000"/>
        </w:rPr>
        <w:t xml:space="preserve"> Femoral Osteotomy, San Diego Pelvic Osteotomy, hip migration, hip dislocation, non-ambulatory children, Spastic Cerebral Palsy.</w:t>
      </w:r>
    </w:p>
    <w:p w:rsidR="001C2440" w:rsidRPr="00B711C5" w:rsidRDefault="001C2440" w:rsidP="001C2440">
      <w:pPr>
        <w:bidi w:val="0"/>
        <w:spacing w:after="0" w:line="360" w:lineRule="auto"/>
        <w:rPr>
          <w:rFonts w:asciiTheme="majorBidi" w:hAnsiTheme="majorBidi" w:cstheme="majorBidi"/>
          <w:sz w:val="32"/>
          <w:szCs w:val="32"/>
        </w:rPr>
      </w:pPr>
      <w:r w:rsidRPr="00B711C5">
        <w:rPr>
          <w:rFonts w:asciiTheme="majorBidi" w:hAnsiTheme="majorBidi" w:cstheme="majorBidi"/>
          <w:color w:val="000000" w:themeColor="text1"/>
          <w:sz w:val="32"/>
          <w:szCs w:val="32"/>
        </w:rPr>
        <w:t>Level of Evidence: IV</w:t>
      </w:r>
    </w:p>
    <w:p w:rsidR="00125BB5" w:rsidRDefault="001C2440">
      <w:bookmarkStart w:id="0" w:name="_GoBack"/>
      <w:bookmarkEnd w:id="0"/>
    </w:p>
    <w:sectPr w:rsidR="00125BB5" w:rsidSect="00A47B0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40"/>
    <w:rsid w:val="00190734"/>
    <w:rsid w:val="001C2440"/>
    <w:rsid w:val="00A4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5CCB9C-DF8C-3541-B166-28E57B7A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440"/>
    <w:pPr>
      <w:bidi/>
      <w:spacing w:after="200" w:line="276" w:lineRule="auto"/>
    </w:pPr>
    <w:rPr>
      <w:rFonts w:ascii="Calibri" w:eastAsia="Times New Roman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24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Body">
    <w:name w:val="Body"/>
    <w:rsid w:val="001C24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2019-01-27T18:57:00Z</dcterms:created>
  <dcterms:modified xsi:type="dcterms:W3CDTF">2019-01-27T18:58:00Z</dcterms:modified>
</cp:coreProperties>
</file>