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FB6" w:rsidRPr="00721B8A" w:rsidRDefault="007A6FB6" w:rsidP="007A6FB6">
      <w:pPr>
        <w:pStyle w:val="Title2"/>
        <w:rPr>
          <w:rFonts w:eastAsia="MS Gothic"/>
          <w:sz w:val="36"/>
        </w:rPr>
      </w:pPr>
      <w:r w:rsidRPr="00721B8A">
        <w:rPr>
          <w:color w:val="337AB7"/>
          <w:sz w:val="36"/>
        </w:rPr>
        <w:t>Surface Micro-Patterning of Oriented Polyethylene Films using Interference Holography</w:t>
      </w:r>
    </w:p>
    <w:p w:rsidR="007A6FB6" w:rsidRDefault="007A6FB6" w:rsidP="007A6FB6">
      <w:pPr>
        <w:pStyle w:val="BodyText"/>
        <w:spacing w:before="73" w:line="198" w:lineRule="exact"/>
        <w:ind w:left="100" w:right="3460"/>
        <w:rPr>
          <w:rFonts w:ascii="Arial"/>
        </w:rPr>
      </w:pPr>
      <w:r w:rsidRPr="00721B8A">
        <w:rPr>
          <w:rFonts w:ascii="Arial"/>
        </w:rPr>
        <w:t xml:space="preserve">Sarah S. D. Lafleur, </w:t>
      </w:r>
      <w:proofErr w:type="spellStart"/>
      <w:r w:rsidRPr="00721B8A">
        <w:rPr>
          <w:rFonts w:ascii="Arial"/>
        </w:rPr>
        <w:t>Lihua</w:t>
      </w:r>
      <w:proofErr w:type="spellEnd"/>
      <w:r w:rsidRPr="00721B8A">
        <w:rPr>
          <w:rFonts w:ascii="Arial"/>
        </w:rPr>
        <w:t xml:space="preserve"> Shen</w:t>
      </w:r>
      <w:r>
        <w:rPr>
          <w:rFonts w:ascii="Arial"/>
        </w:rPr>
        <w:t>,</w:t>
      </w:r>
      <w:r w:rsidRPr="00721B8A">
        <w:rPr>
          <w:rFonts w:ascii="Arial"/>
        </w:rPr>
        <w:t xml:space="preserve"> </w:t>
      </w:r>
      <w:r>
        <w:rPr>
          <w:rFonts w:ascii="Arial"/>
        </w:rPr>
        <w:t>PhD, University of Eindhoven, The Netherlands</w:t>
      </w:r>
    </w:p>
    <w:p w:rsidR="007A6FB6" w:rsidRDefault="007A6FB6" w:rsidP="007A6FB6">
      <w:pPr>
        <w:pStyle w:val="BodyText"/>
        <w:spacing w:before="73" w:line="198" w:lineRule="exact"/>
        <w:ind w:left="100" w:right="3460"/>
        <w:rPr>
          <w:rFonts w:ascii="Arial"/>
        </w:rPr>
      </w:pPr>
      <w:r w:rsidRPr="00721B8A">
        <w:rPr>
          <w:rFonts w:ascii="Arial"/>
        </w:rPr>
        <w:t>Cees W. M. Bastiaansen</w:t>
      </w:r>
      <w:r>
        <w:rPr>
          <w:rFonts w:ascii="Arial"/>
        </w:rPr>
        <w:t>, Associate professor, University of Eindhoven, The Netherlands</w:t>
      </w:r>
    </w:p>
    <w:p w:rsidR="007A6FB6" w:rsidRDefault="007A6FB6" w:rsidP="007A6FB6">
      <w:pPr>
        <w:pStyle w:val="BodyText"/>
        <w:spacing w:before="73" w:line="198" w:lineRule="exact"/>
        <w:ind w:left="100" w:right="3460"/>
        <w:rPr>
          <w:rFonts w:ascii="Arial"/>
        </w:rPr>
      </w:pPr>
      <w:r w:rsidRPr="00721B8A">
        <w:rPr>
          <w:rFonts w:ascii="Arial"/>
        </w:rPr>
        <w:t>John R. Severn</w:t>
      </w:r>
      <w:r>
        <w:rPr>
          <w:rFonts w:ascii="Arial"/>
        </w:rPr>
        <w:t>, Industrial fellow, DSM , The Netherlands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E16B45" w:rsidRDefault="00E16B45">
      <w:pPr>
        <w:pStyle w:val="Heading3"/>
        <w:spacing w:before="147"/>
        <w:jc w:val="both"/>
        <w:rPr>
          <w:color w:val="BF5A14"/>
        </w:rPr>
      </w:pPr>
    </w:p>
    <w:p w:rsidR="00AE3E37" w:rsidRDefault="00A9710C">
      <w:pPr>
        <w:pStyle w:val="Heading3"/>
        <w:spacing w:before="147"/>
        <w:jc w:val="both"/>
        <w:rPr>
          <w:color w:val="BF5A14"/>
        </w:rPr>
      </w:pPr>
      <w:r>
        <w:rPr>
          <w:color w:val="BF5A14"/>
        </w:rPr>
        <w:t>Abstract</w:t>
      </w:r>
      <w:r w:rsidR="003B5007">
        <w:rPr>
          <w:color w:val="BF5A14"/>
        </w:rPr>
        <w:t xml:space="preserve"> </w:t>
      </w:r>
    </w:p>
    <w:p w:rsidR="007A6FB6" w:rsidRDefault="007A6FB6">
      <w:pPr>
        <w:pStyle w:val="Heading3"/>
        <w:spacing w:before="147"/>
        <w:jc w:val="both"/>
      </w:pPr>
    </w:p>
    <w:p w:rsidR="007A6FB6" w:rsidRDefault="007A6FB6" w:rsidP="007A6FB6">
      <w:pPr>
        <w:pStyle w:val="Abstract"/>
        <w:rPr>
          <w:rFonts w:ascii="Tw Cen MT" w:eastAsia="Tw Cen MT" w:hAnsi="Tw Cen MT" w:cs="Tw Cen MT"/>
          <w:sz w:val="18"/>
          <w:szCs w:val="18"/>
          <w:lang w:eastAsia="en-US"/>
        </w:rPr>
      </w:pPr>
      <w:r w:rsidRPr="00653EA5">
        <w:rPr>
          <w:rFonts w:ascii="Tw Cen MT" w:eastAsia="Tw Cen MT" w:hAnsi="Tw Cen MT" w:cs="Tw Cen MT"/>
          <w:sz w:val="18"/>
          <w:szCs w:val="18"/>
          <w:lang w:eastAsia="en-US"/>
        </w:rPr>
        <w:t xml:space="preserve">The ability to micro-pattern polymeric materials with pre-designed surface structures is of great significance in a wide range of applications including sensors, tissue engineering and biofouling. A new procedure is presented for generation of relief gratings on oriented and chain-extended polyethylene (PE) films using interference holography with a nanosecond pulsed laser. An ultraviolet absorber, 2-(2H-benzotriazol-2-yl)-4,6-ditertpentylphenol (BZT) is incorporated into PE prior to drawing to generate absorption at the wavelength of the laser. Illumination with an interference pattern in the absorption band of BZT leads to an obvious height change in the exposed regions and consequently relief gratings are generated (Fig.1 ). </w:t>
      </w:r>
    </w:p>
    <w:p w:rsidR="007A6FB6" w:rsidRPr="00653EA5" w:rsidRDefault="007A6FB6" w:rsidP="007A6FB6">
      <w:pPr>
        <w:pStyle w:val="Abstract"/>
        <w:rPr>
          <w:rFonts w:ascii="Tw Cen MT" w:eastAsia="Tw Cen MT" w:hAnsi="Tw Cen MT" w:cs="Tw Cen MT"/>
          <w:sz w:val="18"/>
          <w:szCs w:val="18"/>
          <w:lang w:eastAsia="en-US"/>
        </w:rPr>
      </w:pPr>
    </w:p>
    <w:p w:rsidR="007A6FB6" w:rsidRDefault="007A6FB6" w:rsidP="007A6FB6">
      <w:pPr>
        <w:pStyle w:val="Abstract"/>
        <w:rPr>
          <w:rFonts w:ascii="Tw Cen MT" w:eastAsia="Tw Cen MT" w:hAnsi="Tw Cen MT" w:cs="Tw Cen MT"/>
          <w:sz w:val="18"/>
          <w:szCs w:val="18"/>
          <w:lang w:eastAsia="en-US"/>
        </w:rPr>
      </w:pPr>
      <w:r w:rsidRPr="00653EA5">
        <w:rPr>
          <w:rFonts w:ascii="Tw Cen MT" w:eastAsia="Tw Cen MT" w:hAnsi="Tw Cen MT" w:cs="Tw Cen MT"/>
          <w:sz w:val="18"/>
          <w:szCs w:val="18"/>
          <w:lang w:eastAsia="en-US"/>
        </w:rPr>
        <w:t>The height change in the exposed regions is dependent on the energy dose of the laser but also on the angle between the grating direction and the</w:t>
      </w:r>
      <w:r>
        <w:rPr>
          <w:rFonts w:ascii="Tw Cen MT" w:eastAsia="Tw Cen MT" w:hAnsi="Tw Cen MT" w:cs="Tw Cen MT"/>
          <w:sz w:val="18"/>
          <w:szCs w:val="18"/>
          <w:lang w:eastAsia="en-US"/>
        </w:rPr>
        <w:t xml:space="preserve"> film orientation direction</w:t>
      </w:r>
      <w:r w:rsidRPr="00653EA5">
        <w:rPr>
          <w:rFonts w:ascii="Tw Cen MT" w:eastAsia="Tw Cen MT" w:hAnsi="Tw Cen MT" w:cs="Tw Cen MT"/>
          <w:sz w:val="18"/>
          <w:szCs w:val="18"/>
          <w:lang w:eastAsia="en-US"/>
        </w:rPr>
        <w:t>. The latest observation is attributed to a competition between thermal contraction and local melting/recrystallization of the chain-extended polyethylene, and thermal evaporation of BZT. The formation of surface relief gratings on high performance oriented PE is of high interest to obtain a strain sensor that can detect optically small deformations during tensile deformations.</w:t>
      </w:r>
    </w:p>
    <w:p w:rsidR="007A6FB6" w:rsidRPr="00653EA5" w:rsidRDefault="007A6FB6" w:rsidP="007A6FB6">
      <w:pPr>
        <w:pStyle w:val="Abstract"/>
        <w:rPr>
          <w:rFonts w:ascii="Tw Cen MT" w:eastAsia="Tw Cen MT" w:hAnsi="Tw Cen MT" w:cs="Tw Cen MT"/>
          <w:sz w:val="18"/>
          <w:szCs w:val="18"/>
          <w:lang w:eastAsia="en-US"/>
        </w:rPr>
      </w:pPr>
    </w:p>
    <w:p w:rsidR="007A6FB6" w:rsidRPr="00653EA5" w:rsidRDefault="007A6FB6" w:rsidP="007A6FB6">
      <w:pPr>
        <w:pStyle w:val="Abstract"/>
        <w:rPr>
          <w:rFonts w:ascii="Tw Cen MT" w:eastAsia="Tw Cen MT" w:hAnsi="Tw Cen MT" w:cs="Tw Cen MT"/>
          <w:sz w:val="18"/>
          <w:szCs w:val="18"/>
          <w:lang w:eastAsia="en-US"/>
        </w:rPr>
      </w:pPr>
      <w:r w:rsidRPr="00653EA5">
        <w:rPr>
          <w:rFonts w:ascii="Tw Cen MT" w:eastAsia="Tw Cen MT" w:hAnsi="Tw Cen MT" w:cs="Tw Cen MT"/>
          <w:sz w:val="18"/>
          <w:szCs w:val="18"/>
          <w:lang w:eastAsia="en-US"/>
        </w:rPr>
        <w:t>Finally, the gratings patterned on the PE films can be used as strain sensors in tensile deformation. A red laser beam (633nm) is diffracted by the grating and produces a diffraction pattern. The distance between the diffracted orders (m0-m1) enables us to know the grating period on the material, thus to determine accurately the strain applied on the film.</w:t>
      </w:r>
    </w:p>
    <w:p w:rsidR="00E16B45" w:rsidRDefault="00A9710C">
      <w:pPr>
        <w:pStyle w:val="Heading3"/>
        <w:spacing w:before="74"/>
        <w:rPr>
          <w:b w:val="0"/>
        </w:rPr>
      </w:pPr>
      <w:r>
        <w:rPr>
          <w:b w:val="0"/>
        </w:rPr>
        <w:br w:type="column"/>
      </w:r>
    </w:p>
    <w:p w:rsidR="00AE3E37" w:rsidRDefault="00A9710C">
      <w:pPr>
        <w:pStyle w:val="Heading3"/>
        <w:spacing w:before="74"/>
      </w:pPr>
      <w:r>
        <w:rPr>
          <w:color w:val="BF5A14"/>
        </w:rPr>
        <w:t>Image</w:t>
      </w:r>
    </w:p>
    <w:p w:rsidR="007A6FB6" w:rsidRDefault="007A6FB6" w:rsidP="007A6FB6">
      <w:pPr>
        <w:pStyle w:val="BodyText"/>
        <w:keepNext/>
        <w:spacing w:before="2"/>
        <w:jc w:val="center"/>
      </w:pPr>
      <w:r>
        <w:rPr>
          <w:rFonts w:eastAsia="SimSun"/>
          <w:noProof/>
          <w:lang w:val="en-GB" w:eastAsia="en-GB"/>
        </w:rPr>
        <w:drawing>
          <wp:inline distT="0" distB="0" distL="0" distR="0" wp14:anchorId="572BF2CD" wp14:editId="4C0E92F1">
            <wp:extent cx="2399386" cy="156545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7320" r="50648" b="10736"/>
                    <a:stretch/>
                  </pic:blipFill>
                  <pic:spPr bwMode="auto">
                    <a:xfrm>
                      <a:off x="0" y="0"/>
                      <a:ext cx="2402948" cy="1567777"/>
                    </a:xfrm>
                    <a:prstGeom prst="rect">
                      <a:avLst/>
                    </a:prstGeom>
                    <a:noFill/>
                    <a:ln>
                      <a:noFill/>
                    </a:ln>
                    <a:extLst>
                      <a:ext uri="{53640926-AAD7-44D8-BBD7-CCE9431645EC}">
                        <a14:shadowObscured xmlns:a14="http://schemas.microsoft.com/office/drawing/2010/main"/>
                      </a:ext>
                    </a:extLst>
                  </pic:spPr>
                </pic:pic>
              </a:graphicData>
            </a:graphic>
          </wp:inline>
        </w:drawing>
      </w:r>
    </w:p>
    <w:p w:rsidR="00C7512B" w:rsidRDefault="007A6FB6" w:rsidP="00C7512B">
      <w:pPr>
        <w:pStyle w:val="Caption"/>
        <w:spacing w:after="0"/>
        <w:rPr>
          <w:b w:val="0"/>
          <w:color w:val="auto"/>
        </w:rPr>
      </w:pPr>
      <w:r w:rsidRPr="007A6FB6">
        <w:rPr>
          <w:color w:val="auto"/>
        </w:rPr>
        <w:t xml:space="preserve">Figure </w:t>
      </w:r>
      <w:r w:rsidRPr="007A6FB6">
        <w:rPr>
          <w:color w:val="auto"/>
        </w:rPr>
        <w:fldChar w:fldCharType="begin"/>
      </w:r>
      <w:r w:rsidRPr="007A6FB6">
        <w:rPr>
          <w:color w:val="auto"/>
        </w:rPr>
        <w:instrText xml:space="preserve"> SEQ Figure \* ARABIC </w:instrText>
      </w:r>
      <w:r w:rsidRPr="007A6FB6">
        <w:rPr>
          <w:color w:val="auto"/>
        </w:rPr>
        <w:fldChar w:fldCharType="separate"/>
      </w:r>
      <w:r w:rsidRPr="007A6FB6">
        <w:rPr>
          <w:noProof/>
          <w:color w:val="auto"/>
        </w:rPr>
        <w:t>1</w:t>
      </w:r>
      <w:r w:rsidRPr="007A6FB6">
        <w:rPr>
          <w:color w:val="auto"/>
        </w:rPr>
        <w:fldChar w:fldCharType="end"/>
      </w:r>
      <w:r w:rsidRPr="007A6FB6">
        <w:rPr>
          <w:color w:val="auto"/>
        </w:rPr>
        <w:t>.</w:t>
      </w:r>
      <w:r w:rsidRPr="007A6FB6">
        <w:rPr>
          <w:b w:val="0"/>
          <w:color w:val="auto"/>
        </w:rPr>
        <w:t xml:space="preserve"> </w:t>
      </w:r>
      <w:r w:rsidRPr="00653EA5">
        <w:rPr>
          <w:b w:val="0"/>
          <w:color w:val="auto"/>
        </w:rPr>
        <w:t>AFM picture of a relief grating on oriented PE obtained by interference holography</w:t>
      </w:r>
    </w:p>
    <w:p w:rsidR="005973B9" w:rsidRDefault="003B5007" w:rsidP="00C7512B">
      <w:pPr>
        <w:pStyle w:val="Caption"/>
        <w:spacing w:after="0"/>
        <w:rPr>
          <w:rFonts w:ascii="Arial"/>
          <w:color w:val="BF5A14"/>
          <w:sz w:val="20"/>
        </w:rPr>
      </w:pPr>
      <w:r>
        <w:rPr>
          <w:rFonts w:ascii="Arial"/>
          <w:color w:val="BF5A14"/>
          <w:sz w:val="20"/>
        </w:rPr>
        <w:br/>
        <w:t xml:space="preserve">Recent Publications </w:t>
      </w:r>
    </w:p>
    <w:p w:rsidR="00E16B45" w:rsidRPr="00E16B45" w:rsidRDefault="00E16B45" w:rsidP="00E16B45"/>
    <w:p w:rsidR="00C7512B" w:rsidRPr="00C7512B" w:rsidRDefault="00C7512B" w:rsidP="00C7512B">
      <w:pPr>
        <w:tabs>
          <w:tab w:val="left" w:pos="384"/>
        </w:tabs>
        <w:ind w:right="117"/>
        <w:jc w:val="both"/>
        <w:rPr>
          <w:rFonts w:ascii="Calibri" w:eastAsia="Calibri" w:hAnsi="Calibri" w:cs="Calibri"/>
          <w:spacing w:val="-4"/>
          <w:sz w:val="18"/>
        </w:rPr>
      </w:pPr>
      <w:r w:rsidRPr="00C7512B">
        <w:rPr>
          <w:rFonts w:ascii="Calibri" w:eastAsia="Calibri" w:hAnsi="Calibri" w:cs="Calibri"/>
          <w:spacing w:val="-4"/>
          <w:sz w:val="18"/>
        </w:rPr>
        <w:t xml:space="preserve">1. </w:t>
      </w:r>
      <w:r w:rsidRPr="00C7512B">
        <w:rPr>
          <w:rFonts w:ascii="Calibri" w:eastAsia="Calibri" w:hAnsi="Calibri" w:cs="Calibri"/>
          <w:spacing w:val="-4"/>
          <w:sz w:val="18"/>
        </w:rPr>
        <w:t xml:space="preserve"> Tan, J. L.; Tien, J.; </w:t>
      </w:r>
      <w:r w:rsidRPr="00C7512B">
        <w:rPr>
          <w:rFonts w:ascii="Calibri" w:eastAsia="Calibri" w:hAnsi="Calibri" w:cs="Calibri"/>
          <w:spacing w:val="-4"/>
          <w:sz w:val="18"/>
        </w:rPr>
        <w:t>(</w:t>
      </w:r>
      <w:r w:rsidRPr="00C7512B">
        <w:rPr>
          <w:rFonts w:ascii="Calibri" w:eastAsia="Calibri" w:hAnsi="Calibri" w:cs="Calibri"/>
          <w:spacing w:val="-4"/>
          <w:sz w:val="18"/>
        </w:rPr>
        <w:t>2003</w:t>
      </w:r>
      <w:r w:rsidRPr="00C7512B">
        <w:rPr>
          <w:rFonts w:ascii="Calibri" w:eastAsia="Calibri" w:hAnsi="Calibri" w:cs="Calibri"/>
          <w:spacing w:val="-4"/>
          <w:sz w:val="18"/>
        </w:rPr>
        <w:t xml:space="preserve">) </w:t>
      </w:r>
      <w:r w:rsidRPr="00C7512B">
        <w:rPr>
          <w:rFonts w:ascii="Calibri" w:eastAsia="Calibri" w:hAnsi="Calibri" w:cs="Calibri"/>
          <w:spacing w:val="-4"/>
          <w:sz w:val="18"/>
        </w:rPr>
        <w:t>Cells Lying on a Bed of Microneedles: An Approach to Isolate Mechanical Force. Proc. Natl. Acad. Sci. U. S. A, 100, 1484−1489.</w:t>
      </w:r>
    </w:p>
    <w:p w:rsidR="00C7512B" w:rsidRPr="00C7512B" w:rsidRDefault="00C7512B" w:rsidP="00C7512B">
      <w:pPr>
        <w:tabs>
          <w:tab w:val="left" w:pos="384"/>
        </w:tabs>
        <w:ind w:right="117"/>
        <w:jc w:val="both"/>
        <w:rPr>
          <w:rFonts w:ascii="Calibri" w:eastAsia="Calibri" w:hAnsi="Calibri" w:cs="Calibri"/>
          <w:spacing w:val="-4"/>
          <w:sz w:val="18"/>
          <w:lang w:val="nl-NL"/>
        </w:rPr>
      </w:pPr>
      <w:r w:rsidRPr="00C7512B">
        <w:rPr>
          <w:rFonts w:ascii="Calibri" w:eastAsia="Calibri" w:hAnsi="Calibri" w:cs="Calibri"/>
          <w:spacing w:val="-4"/>
          <w:sz w:val="18"/>
        </w:rPr>
        <w:t xml:space="preserve">2.  </w:t>
      </w:r>
      <w:proofErr w:type="spellStart"/>
      <w:r w:rsidRPr="00C7512B">
        <w:rPr>
          <w:rFonts w:ascii="Calibri" w:eastAsia="Calibri" w:hAnsi="Calibri" w:cs="Calibri"/>
          <w:spacing w:val="-4"/>
          <w:sz w:val="18"/>
        </w:rPr>
        <w:t>Kuwabara</w:t>
      </w:r>
      <w:proofErr w:type="spellEnd"/>
      <w:r w:rsidRPr="00C7512B">
        <w:rPr>
          <w:rFonts w:ascii="Calibri" w:eastAsia="Calibri" w:hAnsi="Calibri" w:cs="Calibri"/>
          <w:spacing w:val="-4"/>
          <w:sz w:val="18"/>
        </w:rPr>
        <w:t xml:space="preserve">,   K.; </w:t>
      </w:r>
      <w:proofErr w:type="spellStart"/>
      <w:r w:rsidRPr="00C7512B">
        <w:rPr>
          <w:rFonts w:ascii="Calibri" w:eastAsia="Calibri" w:hAnsi="Calibri" w:cs="Calibri"/>
          <w:spacing w:val="-4"/>
          <w:sz w:val="18"/>
        </w:rPr>
        <w:t>Ogino</w:t>
      </w:r>
      <w:proofErr w:type="spellEnd"/>
      <w:r w:rsidRPr="00C7512B">
        <w:rPr>
          <w:rFonts w:ascii="Calibri" w:eastAsia="Calibri" w:hAnsi="Calibri" w:cs="Calibri"/>
          <w:spacing w:val="-4"/>
          <w:sz w:val="18"/>
        </w:rPr>
        <w:t xml:space="preserve">, </w:t>
      </w:r>
      <w:r w:rsidRPr="00C7512B">
        <w:rPr>
          <w:rFonts w:ascii="Calibri" w:eastAsia="Calibri" w:hAnsi="Calibri" w:cs="Calibri"/>
          <w:spacing w:val="-4"/>
          <w:sz w:val="18"/>
        </w:rPr>
        <w:t xml:space="preserve">M.; </w:t>
      </w:r>
      <w:r w:rsidRPr="00C7512B">
        <w:rPr>
          <w:rFonts w:ascii="Calibri" w:eastAsia="Calibri" w:hAnsi="Calibri" w:cs="Calibri"/>
          <w:spacing w:val="-4"/>
          <w:sz w:val="18"/>
        </w:rPr>
        <w:t>(</w:t>
      </w:r>
      <w:r w:rsidRPr="00C7512B">
        <w:rPr>
          <w:rFonts w:ascii="Calibri" w:eastAsia="Calibri" w:hAnsi="Calibri" w:cs="Calibri"/>
          <w:spacing w:val="-4"/>
          <w:sz w:val="18"/>
        </w:rPr>
        <w:t>2004</w:t>
      </w:r>
      <w:r w:rsidRPr="00C7512B">
        <w:rPr>
          <w:rFonts w:ascii="Calibri" w:eastAsia="Calibri" w:hAnsi="Calibri" w:cs="Calibri"/>
          <w:spacing w:val="-4"/>
          <w:sz w:val="18"/>
        </w:rPr>
        <w:t>)</w:t>
      </w:r>
      <w:r w:rsidRPr="00C7512B">
        <w:rPr>
          <w:rFonts w:ascii="Calibri" w:eastAsia="Calibri" w:hAnsi="Calibri" w:cs="Calibri"/>
          <w:spacing w:val="-4"/>
          <w:sz w:val="18"/>
        </w:rPr>
        <w:t xml:space="preserve"> Fluorescence Measurements </w:t>
      </w:r>
      <w:r w:rsidRPr="00C7512B">
        <w:rPr>
          <w:rFonts w:ascii="Calibri" w:eastAsia="Calibri" w:hAnsi="Calibri" w:cs="Calibri"/>
          <w:spacing w:val="-4"/>
          <w:sz w:val="18"/>
        </w:rPr>
        <w:t xml:space="preserve">of </w:t>
      </w:r>
      <w:proofErr w:type="spellStart"/>
      <w:r w:rsidRPr="00C7512B">
        <w:rPr>
          <w:rFonts w:ascii="Calibri" w:eastAsia="Calibri" w:hAnsi="Calibri" w:cs="Calibri"/>
          <w:spacing w:val="-4"/>
          <w:sz w:val="18"/>
        </w:rPr>
        <w:t>Nanopillars</w:t>
      </w:r>
      <w:proofErr w:type="spellEnd"/>
      <w:r w:rsidRPr="00C7512B">
        <w:rPr>
          <w:rFonts w:ascii="Calibri" w:eastAsia="Calibri" w:hAnsi="Calibri" w:cs="Calibri"/>
          <w:spacing w:val="-4"/>
          <w:sz w:val="18"/>
        </w:rPr>
        <w:t xml:space="preserve">   Fabricated   by   High- Aspect-Ratio  </w:t>
      </w:r>
      <w:proofErr w:type="spellStart"/>
      <w:r w:rsidRPr="00C7512B">
        <w:rPr>
          <w:rFonts w:ascii="Calibri" w:eastAsia="Calibri" w:hAnsi="Calibri" w:cs="Calibri"/>
          <w:spacing w:val="-4"/>
          <w:sz w:val="18"/>
        </w:rPr>
        <w:t>Nanoprint</w:t>
      </w:r>
      <w:proofErr w:type="spellEnd"/>
      <w:r w:rsidRPr="00C7512B">
        <w:rPr>
          <w:rFonts w:ascii="Calibri" w:eastAsia="Calibri" w:hAnsi="Calibri" w:cs="Calibri"/>
          <w:spacing w:val="-4"/>
          <w:sz w:val="18"/>
        </w:rPr>
        <w:t xml:space="preserve">   Technology.  </w:t>
      </w:r>
      <w:proofErr w:type="spellStart"/>
      <w:r w:rsidRPr="00C7512B">
        <w:rPr>
          <w:rFonts w:ascii="Calibri" w:eastAsia="Calibri" w:hAnsi="Calibri" w:cs="Calibri"/>
          <w:spacing w:val="-4"/>
          <w:sz w:val="18"/>
        </w:rPr>
        <w:t>Microelectron</w:t>
      </w:r>
      <w:proofErr w:type="spellEnd"/>
      <w:r w:rsidRPr="00C7512B">
        <w:rPr>
          <w:rFonts w:ascii="Calibri" w:eastAsia="Calibri" w:hAnsi="Calibri" w:cs="Calibri"/>
          <w:spacing w:val="-4"/>
          <w:sz w:val="18"/>
        </w:rPr>
        <w:t xml:space="preserve">.   </w:t>
      </w:r>
      <w:r w:rsidRPr="00C7512B">
        <w:rPr>
          <w:rFonts w:ascii="Calibri" w:eastAsia="Calibri" w:hAnsi="Calibri" w:cs="Calibri"/>
          <w:spacing w:val="-4"/>
          <w:sz w:val="18"/>
          <w:lang w:val="nl-NL"/>
        </w:rPr>
        <w:t>Eng.</w:t>
      </w:r>
      <w:r w:rsidRPr="00C7512B">
        <w:rPr>
          <w:rFonts w:ascii="Calibri" w:eastAsia="Calibri" w:hAnsi="Calibri" w:cs="Calibri"/>
          <w:spacing w:val="-4"/>
          <w:sz w:val="18"/>
          <w:lang w:val="nl-NL"/>
        </w:rPr>
        <w:t xml:space="preserve"> ,  73− 74, 752−756</w:t>
      </w:r>
      <w:r w:rsidR="007A6FB6" w:rsidRPr="00C7512B">
        <w:rPr>
          <w:rFonts w:ascii="Calibri" w:eastAsia="Calibri" w:hAnsi="Calibri" w:cs="Calibri"/>
          <w:spacing w:val="-4"/>
          <w:sz w:val="18"/>
          <w:lang w:val="nl-NL"/>
        </w:rPr>
        <w:t xml:space="preserve">3. </w:t>
      </w:r>
    </w:p>
    <w:p w:rsidR="00C7512B" w:rsidRPr="00C7512B" w:rsidRDefault="00C7512B" w:rsidP="00C7512B">
      <w:pPr>
        <w:autoSpaceDE w:val="0"/>
        <w:autoSpaceDN w:val="0"/>
        <w:adjustRightInd w:val="0"/>
        <w:contextualSpacing/>
        <w:jc w:val="both"/>
        <w:rPr>
          <w:rFonts w:ascii="Calibri" w:eastAsia="Calibri" w:hAnsi="Calibri" w:cs="Calibri"/>
          <w:spacing w:val="-4"/>
          <w:sz w:val="18"/>
        </w:rPr>
      </w:pPr>
      <w:r w:rsidRPr="00C7512B">
        <w:rPr>
          <w:rFonts w:ascii="Calibri" w:eastAsia="Calibri" w:hAnsi="Calibri" w:cs="Calibri"/>
          <w:spacing w:val="-4"/>
          <w:sz w:val="18"/>
          <w:lang w:val="nl-NL"/>
        </w:rPr>
        <w:t>3.</w:t>
      </w:r>
      <w:r w:rsidRPr="00C7512B">
        <w:rPr>
          <w:rFonts w:ascii="Calibri" w:eastAsia="Calibri" w:hAnsi="Calibri" w:cs="Calibri"/>
          <w:spacing w:val="-4"/>
          <w:sz w:val="18"/>
          <w:lang w:val="nl-NL"/>
        </w:rPr>
        <w:t xml:space="preserve"> Prenen, A. M.; van der Werf, J. C. A.; Bastiaansen, C. W. M.; </w:t>
      </w:r>
      <w:r w:rsidRPr="00C7512B">
        <w:rPr>
          <w:rFonts w:ascii="Calibri" w:eastAsia="Calibri" w:hAnsi="Calibri" w:cs="Calibri"/>
          <w:spacing w:val="-4"/>
          <w:sz w:val="18"/>
          <w:lang w:val="nl-NL"/>
        </w:rPr>
        <w:t>Broer, D. J. (</w:t>
      </w:r>
      <w:r w:rsidRPr="00C7512B">
        <w:rPr>
          <w:rFonts w:ascii="Calibri" w:eastAsia="Calibri" w:hAnsi="Calibri" w:cs="Calibri"/>
          <w:spacing w:val="-4"/>
          <w:sz w:val="18"/>
          <w:lang w:val="nl-NL"/>
        </w:rPr>
        <w:t>2009</w:t>
      </w:r>
      <w:r w:rsidRPr="00C7512B">
        <w:rPr>
          <w:rFonts w:ascii="Calibri" w:eastAsia="Calibri" w:hAnsi="Calibri" w:cs="Calibri"/>
          <w:spacing w:val="-4"/>
          <w:sz w:val="18"/>
          <w:lang w:val="nl-NL"/>
        </w:rPr>
        <w:t xml:space="preserve">) Monodisperse,   </w:t>
      </w:r>
      <w:proofErr w:type="spellStart"/>
      <w:r w:rsidRPr="00C7512B">
        <w:rPr>
          <w:rFonts w:ascii="Calibri" w:eastAsia="Calibri" w:hAnsi="Calibri" w:cs="Calibri"/>
          <w:spacing w:val="-4"/>
          <w:sz w:val="18"/>
          <w:lang w:val="nl-NL"/>
        </w:rPr>
        <w:t>Polymeric</w:t>
      </w:r>
      <w:proofErr w:type="spellEnd"/>
      <w:r w:rsidRPr="00C7512B">
        <w:rPr>
          <w:rFonts w:ascii="Calibri" w:eastAsia="Calibri" w:hAnsi="Calibri" w:cs="Calibri"/>
          <w:spacing w:val="-4"/>
          <w:sz w:val="18"/>
          <w:lang w:val="nl-NL"/>
        </w:rPr>
        <w:t xml:space="preserve"> Nano- </w:t>
      </w:r>
      <w:proofErr w:type="spellStart"/>
      <w:r w:rsidRPr="00C7512B">
        <w:rPr>
          <w:rFonts w:ascii="Calibri" w:eastAsia="Calibri" w:hAnsi="Calibri" w:cs="Calibri"/>
          <w:spacing w:val="-4"/>
          <w:sz w:val="18"/>
          <w:lang w:val="nl-NL"/>
        </w:rPr>
        <w:t>and</w:t>
      </w:r>
      <w:proofErr w:type="spellEnd"/>
      <w:r w:rsidRPr="00C7512B">
        <w:rPr>
          <w:rFonts w:ascii="Calibri" w:eastAsia="Calibri" w:hAnsi="Calibri" w:cs="Calibri"/>
          <w:spacing w:val="-4"/>
          <w:sz w:val="18"/>
          <w:lang w:val="nl-NL"/>
        </w:rPr>
        <w:t xml:space="preserve"> </w:t>
      </w:r>
      <w:proofErr w:type="spellStart"/>
      <w:r w:rsidRPr="00C7512B">
        <w:rPr>
          <w:rFonts w:ascii="Calibri" w:eastAsia="Calibri" w:hAnsi="Calibri" w:cs="Calibri"/>
          <w:spacing w:val="-4"/>
          <w:sz w:val="18"/>
          <w:lang w:val="nl-NL"/>
        </w:rPr>
        <w:t>Microsieves</w:t>
      </w:r>
      <w:proofErr w:type="spellEnd"/>
      <w:r w:rsidRPr="00C7512B">
        <w:rPr>
          <w:rFonts w:ascii="Calibri" w:eastAsia="Calibri" w:hAnsi="Calibri" w:cs="Calibri"/>
          <w:spacing w:val="-4"/>
          <w:sz w:val="18"/>
          <w:lang w:val="nl-NL"/>
        </w:rPr>
        <w:t xml:space="preserve"> </w:t>
      </w:r>
      <w:proofErr w:type="spellStart"/>
      <w:r w:rsidRPr="00C7512B">
        <w:rPr>
          <w:rFonts w:ascii="Calibri" w:eastAsia="Calibri" w:hAnsi="Calibri" w:cs="Calibri"/>
          <w:spacing w:val="-4"/>
          <w:sz w:val="18"/>
          <w:lang w:val="nl-NL"/>
        </w:rPr>
        <w:t>Produced</w:t>
      </w:r>
      <w:proofErr w:type="spellEnd"/>
      <w:r w:rsidRPr="00C7512B">
        <w:rPr>
          <w:rFonts w:ascii="Calibri" w:eastAsia="Calibri" w:hAnsi="Calibri" w:cs="Calibri"/>
          <w:spacing w:val="-4"/>
          <w:sz w:val="18"/>
          <w:lang w:val="nl-NL"/>
        </w:rPr>
        <w:t xml:space="preserve"> </w:t>
      </w:r>
      <w:proofErr w:type="spellStart"/>
      <w:r w:rsidRPr="00C7512B">
        <w:rPr>
          <w:rFonts w:ascii="Calibri" w:eastAsia="Calibri" w:hAnsi="Calibri" w:cs="Calibri"/>
          <w:spacing w:val="-4"/>
          <w:sz w:val="18"/>
          <w:lang w:val="nl-NL"/>
        </w:rPr>
        <w:t>wi</w:t>
      </w:r>
      <w:r w:rsidRPr="00C7512B">
        <w:rPr>
          <w:rFonts w:ascii="Calibri" w:eastAsia="Calibri" w:hAnsi="Calibri" w:cs="Calibri"/>
          <w:spacing w:val="-4"/>
          <w:sz w:val="18"/>
          <w:lang w:val="nl-NL"/>
        </w:rPr>
        <w:t>th</w:t>
      </w:r>
      <w:proofErr w:type="spellEnd"/>
      <w:r w:rsidRPr="00C7512B">
        <w:rPr>
          <w:rFonts w:ascii="Calibri" w:eastAsia="Calibri" w:hAnsi="Calibri" w:cs="Calibri"/>
          <w:spacing w:val="-4"/>
          <w:sz w:val="18"/>
          <w:lang w:val="nl-NL"/>
        </w:rPr>
        <w:t xml:space="preserve"> </w:t>
      </w:r>
      <w:proofErr w:type="spellStart"/>
      <w:r w:rsidRPr="00C7512B">
        <w:rPr>
          <w:rFonts w:ascii="Calibri" w:eastAsia="Calibri" w:hAnsi="Calibri" w:cs="Calibri"/>
          <w:spacing w:val="-4"/>
          <w:sz w:val="18"/>
          <w:lang w:val="nl-NL"/>
        </w:rPr>
        <w:t>Interference</w:t>
      </w:r>
      <w:proofErr w:type="spellEnd"/>
      <w:r w:rsidRPr="00C7512B">
        <w:rPr>
          <w:rFonts w:ascii="Calibri" w:eastAsia="Calibri" w:hAnsi="Calibri" w:cs="Calibri"/>
          <w:spacing w:val="-4"/>
          <w:sz w:val="18"/>
          <w:lang w:val="nl-NL"/>
        </w:rPr>
        <w:t xml:space="preserve"> </w:t>
      </w:r>
      <w:proofErr w:type="spellStart"/>
      <w:r w:rsidRPr="00C7512B">
        <w:rPr>
          <w:rFonts w:ascii="Calibri" w:eastAsia="Calibri" w:hAnsi="Calibri" w:cs="Calibri"/>
          <w:spacing w:val="-4"/>
          <w:sz w:val="18"/>
          <w:lang w:val="nl-NL"/>
        </w:rPr>
        <w:t>Holography</w:t>
      </w:r>
      <w:proofErr w:type="spellEnd"/>
      <w:r w:rsidRPr="00C7512B">
        <w:rPr>
          <w:rFonts w:ascii="Calibri" w:eastAsia="Calibri" w:hAnsi="Calibri" w:cs="Calibri"/>
          <w:spacing w:val="-4"/>
          <w:sz w:val="18"/>
          <w:lang w:val="nl-NL"/>
        </w:rPr>
        <w:t xml:space="preserve">.  </w:t>
      </w:r>
      <w:r w:rsidRPr="00C7512B">
        <w:rPr>
          <w:rFonts w:ascii="Calibri" w:eastAsia="Calibri" w:hAnsi="Calibri" w:cs="Calibri"/>
          <w:spacing w:val="-4"/>
          <w:sz w:val="18"/>
        </w:rPr>
        <w:t>Adv. Mater.</w:t>
      </w:r>
      <w:r w:rsidRPr="00C7512B">
        <w:rPr>
          <w:rFonts w:ascii="Calibri" w:eastAsia="Calibri" w:hAnsi="Calibri" w:cs="Calibri"/>
          <w:spacing w:val="-4"/>
          <w:sz w:val="18"/>
        </w:rPr>
        <w:t xml:space="preserve"> </w:t>
      </w:r>
      <w:r w:rsidRPr="00C7512B">
        <w:rPr>
          <w:rFonts w:ascii="Calibri" w:eastAsia="Calibri" w:hAnsi="Calibri" w:cs="Calibri"/>
          <w:spacing w:val="-4"/>
          <w:sz w:val="18"/>
        </w:rPr>
        <w:t xml:space="preserve">, </w:t>
      </w:r>
      <w:r w:rsidRPr="00C7512B">
        <w:rPr>
          <w:rFonts w:ascii="Calibri" w:eastAsia="Calibri" w:hAnsi="Calibri" w:cs="Calibri"/>
          <w:spacing w:val="-4"/>
          <w:sz w:val="18"/>
        </w:rPr>
        <w:t>21,</w:t>
      </w:r>
      <w:r w:rsidRPr="00C7512B">
        <w:rPr>
          <w:rFonts w:ascii="Calibri" w:eastAsia="Calibri" w:hAnsi="Calibri" w:cs="Calibri"/>
          <w:spacing w:val="-4"/>
          <w:sz w:val="18"/>
        </w:rPr>
        <w:t xml:space="preserve"> </w:t>
      </w:r>
      <w:r w:rsidRPr="00C7512B">
        <w:rPr>
          <w:rFonts w:ascii="Calibri" w:eastAsia="Calibri" w:hAnsi="Calibri" w:cs="Calibri"/>
          <w:spacing w:val="-4"/>
          <w:sz w:val="18"/>
        </w:rPr>
        <w:t>1751−1755.</w:t>
      </w:r>
    </w:p>
    <w:p w:rsidR="00C7512B" w:rsidRPr="00C7512B" w:rsidRDefault="00C7512B" w:rsidP="00C7512B">
      <w:pPr>
        <w:autoSpaceDE w:val="0"/>
        <w:autoSpaceDN w:val="0"/>
        <w:adjustRightInd w:val="0"/>
        <w:contextualSpacing/>
        <w:jc w:val="both"/>
        <w:rPr>
          <w:rFonts w:ascii="Calibri" w:eastAsia="Calibri" w:hAnsi="Calibri" w:cs="Calibri"/>
          <w:spacing w:val="-4"/>
          <w:sz w:val="18"/>
        </w:rPr>
      </w:pPr>
      <w:r w:rsidRPr="00C7512B">
        <w:rPr>
          <w:rFonts w:ascii="Calibri" w:eastAsia="Calibri" w:hAnsi="Calibri" w:cs="Calibri"/>
          <w:spacing w:val="-4"/>
          <w:sz w:val="18"/>
        </w:rPr>
        <w:t>4.</w:t>
      </w:r>
      <w:r w:rsidRPr="00C7512B">
        <w:rPr>
          <w:rFonts w:ascii="Calibri" w:eastAsia="Calibri" w:hAnsi="Calibri" w:cs="Calibri"/>
          <w:spacing w:val="-4"/>
          <w:sz w:val="18"/>
        </w:rPr>
        <w:t xml:space="preserve"> Xia, D.; Ku, Z.;</w:t>
      </w:r>
      <w:r w:rsidRPr="00C7512B">
        <w:rPr>
          <w:rFonts w:ascii="Calibri" w:eastAsia="Calibri" w:hAnsi="Calibri" w:cs="Calibri"/>
          <w:spacing w:val="-4"/>
          <w:sz w:val="18"/>
        </w:rPr>
        <w:t xml:space="preserve"> (</w:t>
      </w:r>
      <w:r w:rsidRPr="00C7512B">
        <w:rPr>
          <w:rFonts w:ascii="Calibri" w:eastAsia="Calibri" w:hAnsi="Calibri" w:cs="Calibri"/>
          <w:spacing w:val="-4"/>
          <w:sz w:val="18"/>
        </w:rPr>
        <w:t>2011</w:t>
      </w:r>
      <w:r w:rsidRPr="00C7512B">
        <w:rPr>
          <w:rFonts w:ascii="Calibri" w:eastAsia="Calibri" w:hAnsi="Calibri" w:cs="Calibri"/>
          <w:spacing w:val="-4"/>
          <w:sz w:val="18"/>
        </w:rPr>
        <w:t>)</w:t>
      </w:r>
      <w:r w:rsidRPr="00C7512B">
        <w:rPr>
          <w:rFonts w:ascii="Calibri" w:eastAsia="Calibri" w:hAnsi="Calibri" w:cs="Calibri"/>
          <w:spacing w:val="-4"/>
          <w:sz w:val="18"/>
        </w:rPr>
        <w:t xml:space="preserve">. Nanostructures and Functional Materials </w:t>
      </w:r>
      <w:r w:rsidRPr="00C7512B">
        <w:rPr>
          <w:rFonts w:ascii="Calibri" w:eastAsia="Calibri" w:hAnsi="Calibri" w:cs="Calibri"/>
          <w:spacing w:val="-4"/>
          <w:sz w:val="18"/>
        </w:rPr>
        <w:t>f</w:t>
      </w:r>
      <w:r w:rsidRPr="00C7512B">
        <w:rPr>
          <w:rFonts w:ascii="Calibri" w:eastAsia="Calibri" w:hAnsi="Calibri" w:cs="Calibri"/>
          <w:spacing w:val="-4"/>
          <w:sz w:val="18"/>
        </w:rPr>
        <w:t>abricated by Interferometric Lithography. Adv. Mater., 23, 147−179.</w:t>
      </w:r>
    </w:p>
    <w:p w:rsidR="00AE3E37" w:rsidRPr="00C7512B" w:rsidRDefault="00C7512B" w:rsidP="00C7512B">
      <w:pPr>
        <w:tabs>
          <w:tab w:val="left" w:pos="384"/>
        </w:tabs>
        <w:ind w:right="117"/>
        <w:jc w:val="both"/>
        <w:rPr>
          <w:rFonts w:ascii="Calibri" w:eastAsia="Calibri" w:hAnsi="Calibri" w:cs="Calibri"/>
          <w:spacing w:val="-4"/>
          <w:sz w:val="18"/>
        </w:rPr>
      </w:pPr>
      <w:r w:rsidRPr="00C7512B">
        <w:rPr>
          <w:rFonts w:ascii="Calibri" w:eastAsia="Calibri" w:hAnsi="Calibri" w:cs="Calibri"/>
          <w:spacing w:val="-4"/>
          <w:sz w:val="18"/>
        </w:rPr>
        <w:t xml:space="preserve">5. </w:t>
      </w:r>
      <w:proofErr w:type="spellStart"/>
      <w:r w:rsidRPr="00C7512B">
        <w:rPr>
          <w:rFonts w:ascii="Calibri" w:eastAsia="Calibri" w:hAnsi="Calibri" w:cs="Calibri"/>
          <w:spacing w:val="-4"/>
          <w:sz w:val="18"/>
        </w:rPr>
        <w:t>Niggemann</w:t>
      </w:r>
      <w:proofErr w:type="spellEnd"/>
      <w:r w:rsidRPr="00C7512B">
        <w:rPr>
          <w:rFonts w:ascii="Calibri" w:eastAsia="Calibri" w:hAnsi="Calibri" w:cs="Calibri"/>
          <w:spacing w:val="-4"/>
          <w:sz w:val="18"/>
        </w:rPr>
        <w:t>, M.;</w:t>
      </w:r>
      <w:proofErr w:type="spellStart"/>
      <w:r w:rsidRPr="00C7512B">
        <w:rPr>
          <w:rFonts w:ascii="Calibri" w:eastAsia="Calibri" w:hAnsi="Calibri" w:cs="Calibri"/>
          <w:spacing w:val="-4"/>
          <w:sz w:val="18"/>
        </w:rPr>
        <w:t>Blaesi</w:t>
      </w:r>
      <w:proofErr w:type="spellEnd"/>
      <w:r w:rsidRPr="00C7512B">
        <w:rPr>
          <w:rFonts w:ascii="Calibri" w:eastAsia="Calibri" w:hAnsi="Calibri" w:cs="Calibri"/>
          <w:spacing w:val="-4"/>
          <w:sz w:val="18"/>
        </w:rPr>
        <w:t>, B.;</w:t>
      </w:r>
      <w:r w:rsidRPr="00C7512B">
        <w:rPr>
          <w:rFonts w:ascii="Calibri" w:eastAsia="Calibri" w:hAnsi="Calibri" w:cs="Calibri"/>
          <w:spacing w:val="-4"/>
          <w:sz w:val="18"/>
        </w:rPr>
        <w:t xml:space="preserve"> (</w:t>
      </w:r>
      <w:r w:rsidRPr="00C7512B">
        <w:rPr>
          <w:rFonts w:ascii="Calibri" w:eastAsia="Calibri" w:hAnsi="Calibri" w:cs="Calibri"/>
          <w:spacing w:val="-4"/>
          <w:sz w:val="18"/>
        </w:rPr>
        <w:t>2001</w:t>
      </w:r>
      <w:r w:rsidRPr="00C7512B">
        <w:rPr>
          <w:rFonts w:ascii="Calibri" w:eastAsia="Calibri" w:hAnsi="Calibri" w:cs="Calibri"/>
          <w:spacing w:val="-4"/>
          <w:sz w:val="18"/>
        </w:rPr>
        <w:t>)</w:t>
      </w:r>
      <w:r w:rsidRPr="00C7512B">
        <w:rPr>
          <w:rFonts w:ascii="Calibri" w:eastAsia="Calibri" w:hAnsi="Calibri" w:cs="Calibri"/>
          <w:spacing w:val="-4"/>
          <w:sz w:val="18"/>
        </w:rPr>
        <w:t>. Periodic Microstructures for Large Area Applications Generated by Holography. Proc. SPIE, 4438, 108−115</w:t>
      </w:r>
    </w:p>
    <w:p w:rsidR="00AE3E37" w:rsidRPr="00C7512B" w:rsidRDefault="008756E6">
      <w:pPr>
        <w:spacing w:line="200" w:lineRule="exact"/>
        <w:jc w:val="both"/>
        <w:rPr>
          <w:rFonts w:ascii="Calibri" w:hAnsi="Calibri"/>
          <w:lang w:val="en-GB"/>
        </w:rPr>
        <w:sectPr w:rsidR="00AE3E37" w:rsidRPr="00C7512B">
          <w:type w:val="continuous"/>
          <w:pgSz w:w="11910" w:h="16840"/>
          <w:pgMar w:top="1740" w:right="600" w:bottom="840" w:left="620" w:header="720" w:footer="720" w:gutter="0"/>
          <w:cols w:num="2" w:space="720" w:equalWidth="0">
            <w:col w:w="5214" w:space="138"/>
            <w:col w:w="5338"/>
          </w:cols>
        </w:sectPr>
      </w:pPr>
      <w:r w:rsidRPr="00C7512B">
        <w:rPr>
          <w:rFonts w:ascii="Calibri" w:hAnsi="Calibri"/>
          <w:lang w:val="en-GB"/>
        </w:rPr>
        <w:t xml:space="preserve">   </w:t>
      </w:r>
    </w:p>
    <w:p w:rsidR="00AE3E37" w:rsidRPr="00C7512B" w:rsidRDefault="00AE3E37">
      <w:pPr>
        <w:pStyle w:val="BodyText"/>
        <w:rPr>
          <w:rFonts w:ascii="Calibri"/>
          <w:sz w:val="20"/>
          <w:lang w:val="en-GB"/>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E16B45" w:rsidRDefault="00E16B45">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4FE283EA" wp14:editId="3FEB92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16B45" w:rsidP="00404E5B">
      <w:pPr>
        <w:spacing w:before="92"/>
        <w:ind w:right="4234"/>
        <w:rPr>
          <w:noProof/>
          <w:lang w:val="en-GB" w:eastAsia="en-GB"/>
        </w:rPr>
      </w:pPr>
      <w:r>
        <w:rPr>
          <w:noProof/>
          <w:lang w:val="en-GB" w:eastAsia="en-GB"/>
        </w:rPr>
        <w:drawing>
          <wp:anchor distT="0" distB="0" distL="114300" distR="114300" simplePos="0" relativeHeight="251658240" behindDoc="1" locked="0" layoutInCell="1" allowOverlap="1" wp14:anchorId="4B56B72E" wp14:editId="58BE4B4F">
            <wp:simplePos x="0" y="0"/>
            <wp:positionH relativeFrom="column">
              <wp:posOffset>-635</wp:posOffset>
            </wp:positionH>
            <wp:positionV relativeFrom="paragraph">
              <wp:posOffset>59055</wp:posOffset>
            </wp:positionV>
            <wp:extent cx="967105" cy="1296035"/>
            <wp:effectExtent l="0" t="0" r="4445" b="0"/>
            <wp:wrapThrough wrapText="bothSides">
              <wp:wrapPolygon edited="0">
                <wp:start x="0" y="0"/>
                <wp:lineTo x="0" y="21272"/>
                <wp:lineTo x="21274" y="21272"/>
                <wp:lineTo x="2127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7105" cy="1296035"/>
                    </a:xfrm>
                    <a:prstGeom prst="rect">
                      <a:avLst/>
                    </a:prstGeom>
                    <a:noFill/>
                  </pic:spPr>
                </pic:pic>
              </a:graphicData>
            </a:graphic>
            <wp14:sizeRelH relativeFrom="page">
              <wp14:pctWidth>0</wp14:pctWidth>
            </wp14:sizeRelH>
            <wp14:sizeRelV relativeFrom="page">
              <wp14:pctHeight>0</wp14:pctHeight>
            </wp14:sizeRelV>
          </wp:anchor>
        </w:drawing>
      </w:r>
      <w:bookmarkStart w:id="0" w:name="_GoBack"/>
      <w:bookmarkEnd w:id="0"/>
      <w:r>
        <w:rPr>
          <w:rFonts w:ascii="Arial"/>
          <w:color w:val="BF5A14"/>
        </w:rPr>
        <w:t xml:space="preserve"> </w:t>
      </w:r>
      <w:r w:rsidR="00A9710C">
        <w:rPr>
          <w:rFonts w:ascii="Arial"/>
          <w:color w:val="BF5A14"/>
        </w:rPr>
        <w:t>Biography</w:t>
      </w:r>
      <w:r w:rsidR="003B5007">
        <w:rPr>
          <w:rFonts w:ascii="Arial"/>
          <w:color w:val="BF5A14"/>
        </w:rPr>
        <w:t xml:space="preserve"> </w:t>
      </w:r>
      <w:r w:rsidRPr="00E16B45">
        <w:rPr>
          <w:noProof/>
          <w:lang w:val="en-GB" w:eastAsia="en-GB"/>
        </w:rPr>
        <w:t xml:space="preserve"> </w:t>
      </w:r>
    </w:p>
    <w:p w:rsidR="003B5007" w:rsidRDefault="003B5007" w:rsidP="00404E5B">
      <w:pPr>
        <w:spacing w:before="92"/>
        <w:ind w:right="4234"/>
        <w:rPr>
          <w:rFonts w:ascii="Arial"/>
        </w:rPr>
      </w:pPr>
    </w:p>
    <w:p w:rsidR="00E16B45" w:rsidRPr="00E16B45" w:rsidRDefault="00E16B45" w:rsidP="00E16B45">
      <w:pPr>
        <w:jc w:val="both"/>
        <w:rPr>
          <w:rFonts w:ascii="Arial"/>
          <w:sz w:val="14"/>
        </w:rPr>
      </w:pPr>
      <w:r w:rsidRPr="00E16B45">
        <w:rPr>
          <w:rFonts w:ascii="Arial"/>
          <w:sz w:val="14"/>
        </w:rPr>
        <w:t xml:space="preserve">In 2014, Sarah obtained a master in Formulation of colloidal systems and polymers. Between 2010 and 2014, Sarah has worked on various projects in companies and universities. In 2012 Sarah did a one year internship at SABIC-Innovative plastics in Bergen op Zoom, The Netherlands where she worked on the development of new polycarbonate materials for UK/India and European rail, airplane and hospital claddings applications, improving the flammability and the anti-graffiti properties. Finally, her graduation project was at AGFA </w:t>
      </w:r>
      <w:proofErr w:type="spellStart"/>
      <w:r w:rsidRPr="00E16B45">
        <w:rPr>
          <w:rFonts w:ascii="Arial"/>
          <w:sz w:val="14"/>
        </w:rPr>
        <w:t>Gevaert</w:t>
      </w:r>
      <w:proofErr w:type="spellEnd"/>
      <w:r w:rsidRPr="00E16B45">
        <w:rPr>
          <w:rFonts w:ascii="Arial"/>
          <w:sz w:val="14"/>
        </w:rPr>
        <w:t xml:space="preserve"> in Mortsel, Belgium where she worked on the formulation of a primer to improve the adhesion of UV-curable inks on glass and on the formulation of spot colors to increase the color gamut of an existing set of inks.</w:t>
      </w:r>
    </w:p>
    <w:p w:rsidR="00E16B45" w:rsidRPr="00E16B45" w:rsidRDefault="00E16B45" w:rsidP="00E16B45">
      <w:pPr>
        <w:jc w:val="both"/>
        <w:rPr>
          <w:rFonts w:ascii="Arial"/>
          <w:sz w:val="14"/>
        </w:rPr>
      </w:pPr>
      <w:r w:rsidRPr="00E16B45">
        <w:rPr>
          <w:rFonts w:ascii="Arial"/>
          <w:sz w:val="14"/>
        </w:rPr>
        <w:t>In October 2014, Sarah joined the Functional Organic Materials an</w:t>
      </w:r>
      <w:r>
        <w:rPr>
          <w:rFonts w:ascii="Arial"/>
          <w:sz w:val="14"/>
        </w:rPr>
        <w:t>d Devices group for a Ph.</w:t>
      </w:r>
      <w:r w:rsidRPr="00E16B45">
        <w:rPr>
          <w:rFonts w:ascii="Arial"/>
          <w:sz w:val="14"/>
        </w:rPr>
        <w:t xml:space="preserve">D. in collaboration with DSM, under the supervision of C. Bastiaansen and J. Severn. She is currently working on functional devices based on chain-extended </w:t>
      </w:r>
      <w:proofErr w:type="spellStart"/>
      <w:r w:rsidRPr="00E16B45">
        <w:rPr>
          <w:rFonts w:ascii="Arial"/>
          <w:sz w:val="14"/>
        </w:rPr>
        <w:t>polyethylenes</w:t>
      </w:r>
      <w:proofErr w:type="spellEnd"/>
      <w:r w:rsidRPr="00E16B45">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5D2EEC">
        <w:rPr>
          <w:rFonts w:ascii="Arial"/>
          <w:sz w:val="14"/>
        </w:rPr>
        <w:t>s.lafleur@tue.nl</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E16B45">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A6FB6" w:rsidRDefault="00A9710C">
                          <w:pPr>
                            <w:spacing w:before="2" w:line="249" w:lineRule="auto"/>
                            <w:ind w:left="156" w:right="18" w:hanging="137"/>
                            <w:rPr>
                              <w:rFonts w:ascii="Arial"/>
                              <w:color w:val="FFFFFF" w:themeColor="background1"/>
                              <w:sz w:val="14"/>
                              <w:lang w:val="fr-FR"/>
                            </w:rPr>
                          </w:pPr>
                          <w:r w:rsidRPr="007A6FB6">
                            <w:rPr>
                              <w:rFonts w:ascii="Arial"/>
                              <w:color w:val="FFFFFF" w:themeColor="background1"/>
                              <w:sz w:val="14"/>
                              <w:lang w:val="fr-FR"/>
                            </w:rPr>
                            <w:t xml:space="preserve">T Furuta et al., J Pai n Relief 2016, 5:3(Suppl) </w:t>
                          </w:r>
                          <w:r w:rsidR="003B5007">
                            <w:fldChar w:fldCharType="begin"/>
                          </w:r>
                          <w:r w:rsidR="003B5007" w:rsidRPr="007A6FB6">
                            <w:rPr>
                              <w:lang w:val="fr-FR"/>
                            </w:rPr>
                            <w:instrText xml:space="preserve"> HYPERLINK "http://dx.doi.org/10.4172/2167-0846.C1.006" \h </w:instrText>
                          </w:r>
                          <w:r w:rsidR="003B5007">
                            <w:fldChar w:fldCharType="separate"/>
                          </w:r>
                          <w:r w:rsidRPr="007A6FB6">
                            <w:rPr>
                              <w:rFonts w:ascii="Arial"/>
                              <w:color w:val="FFFFFF" w:themeColor="background1"/>
                              <w:sz w:val="14"/>
                              <w:lang w:val="fr-FR"/>
                            </w:rPr>
                            <w:t>http://dx.doi.org/10.4172/2167-0846.C1.006</w:t>
                          </w:r>
                          <w:r w:rsidR="003B500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A6FB6" w:rsidRDefault="00A9710C">
                    <w:pPr>
                      <w:spacing w:before="2" w:line="249" w:lineRule="auto"/>
                      <w:ind w:left="156" w:right="18" w:hanging="137"/>
                      <w:rPr>
                        <w:rFonts w:ascii="Arial"/>
                        <w:color w:val="FFFFFF" w:themeColor="background1"/>
                        <w:sz w:val="14"/>
                        <w:lang w:val="fr-FR"/>
                      </w:rPr>
                    </w:pPr>
                    <w:r w:rsidRPr="007A6FB6">
                      <w:rPr>
                        <w:rFonts w:ascii="Arial"/>
                        <w:color w:val="FFFFFF" w:themeColor="background1"/>
                        <w:sz w:val="14"/>
                        <w:lang w:val="fr-FR"/>
                      </w:rPr>
                      <w:t xml:space="preserve">T Furuta et al., J Pai n Relief 2016, 5:3(Suppl) </w:t>
                    </w:r>
                    <w:r w:rsidR="003B5007">
                      <w:fldChar w:fldCharType="begin"/>
                    </w:r>
                    <w:r w:rsidR="003B5007" w:rsidRPr="007A6FB6">
                      <w:rPr>
                        <w:lang w:val="fr-FR"/>
                      </w:rPr>
                      <w:instrText xml:space="preserve"> HYPERLINK "http://dx.doi.org/10.4172/2167-0846.C1.006" \h </w:instrText>
                    </w:r>
                    <w:r w:rsidR="003B5007">
                      <w:fldChar w:fldCharType="separate"/>
                    </w:r>
                    <w:r w:rsidRPr="007A6FB6">
                      <w:rPr>
                        <w:rFonts w:ascii="Arial"/>
                        <w:color w:val="FFFFFF" w:themeColor="background1"/>
                        <w:sz w:val="14"/>
                        <w:lang w:val="fr-FR"/>
                      </w:rPr>
                      <w:t>http://dx.doi.org/10.4172/2167-0846.C1.006</w:t>
                    </w:r>
                    <w:r w:rsidR="003B5007">
                      <w:rPr>
                        <w:rFonts w:ascii="Arial"/>
                        <w:color w:val="FFFFFF" w:themeColor="background1"/>
                        <w:sz w:val="14"/>
                      </w:rP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E17CD7F4"/>
    <w:lvl w:ilvl="0" w:tplc="41E0B3BA">
      <w:start w:val="1"/>
      <w:numFmt w:val="decimal"/>
      <w:lvlText w:val="%1."/>
      <w:lvlJc w:val="left"/>
      <w:pPr>
        <w:ind w:left="383" w:hanging="284"/>
      </w:pPr>
      <w:rPr>
        <w:rFonts w:ascii="Calibri" w:eastAsia="Calibri" w:hAnsi="Calibri" w:cs="Calibr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42CE5"/>
    <w:rsid w:val="003B5007"/>
    <w:rsid w:val="00404E5B"/>
    <w:rsid w:val="00414F7B"/>
    <w:rsid w:val="004355DC"/>
    <w:rsid w:val="004749B4"/>
    <w:rsid w:val="00494130"/>
    <w:rsid w:val="004F3523"/>
    <w:rsid w:val="005973B9"/>
    <w:rsid w:val="005B3A56"/>
    <w:rsid w:val="005D236C"/>
    <w:rsid w:val="005D2EEC"/>
    <w:rsid w:val="006060CE"/>
    <w:rsid w:val="0063497F"/>
    <w:rsid w:val="007A6FB6"/>
    <w:rsid w:val="00873DF0"/>
    <w:rsid w:val="008756E6"/>
    <w:rsid w:val="008A08B6"/>
    <w:rsid w:val="009B2D44"/>
    <w:rsid w:val="00A07E82"/>
    <w:rsid w:val="00A9710C"/>
    <w:rsid w:val="00AE3E37"/>
    <w:rsid w:val="00B21A57"/>
    <w:rsid w:val="00C33602"/>
    <w:rsid w:val="00C7512B"/>
    <w:rsid w:val="00CD6F55"/>
    <w:rsid w:val="00DE3104"/>
    <w:rsid w:val="00E16B45"/>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
    <w:name w:val="Abstract"/>
    <w:basedOn w:val="Normal"/>
    <w:autoRedefine/>
    <w:rsid w:val="007A6FB6"/>
    <w:pPr>
      <w:widowControl/>
      <w:jc w:val="both"/>
    </w:pPr>
    <w:rPr>
      <w:rFonts w:ascii="Times New Roman" w:eastAsia="MS Mincho" w:hAnsi="Times New Roman" w:cs="Times New Roman"/>
      <w:sz w:val="20"/>
      <w:szCs w:val="24"/>
      <w:lang w:eastAsia="ja-JP"/>
    </w:rPr>
  </w:style>
  <w:style w:type="paragraph" w:styleId="Caption">
    <w:name w:val="caption"/>
    <w:basedOn w:val="Normal"/>
    <w:next w:val="Normal"/>
    <w:uiPriority w:val="35"/>
    <w:unhideWhenUsed/>
    <w:qFormat/>
    <w:rsid w:val="007A6FB6"/>
    <w:pPr>
      <w:spacing w:after="200"/>
    </w:pPr>
    <w:rPr>
      <w:b/>
      <w:bCs/>
      <w:color w:val="4F81BD" w:themeColor="accent1"/>
      <w:sz w:val="18"/>
      <w:szCs w:val="18"/>
    </w:rPr>
  </w:style>
  <w:style w:type="paragraph" w:customStyle="1" w:styleId="Title2">
    <w:name w:val="Title2"/>
    <w:basedOn w:val="Normal"/>
    <w:rsid w:val="007A6FB6"/>
    <w:pPr>
      <w:widowControl/>
    </w:pPr>
    <w:rPr>
      <w:rFonts w:ascii="Times New Roman" w:eastAsia="MS Mincho" w:hAnsi="Times New Roman" w:cs="Times New Roman"/>
      <w:b/>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
    <w:name w:val="Abstract"/>
    <w:basedOn w:val="Normal"/>
    <w:autoRedefine/>
    <w:rsid w:val="007A6FB6"/>
    <w:pPr>
      <w:widowControl/>
      <w:jc w:val="both"/>
    </w:pPr>
    <w:rPr>
      <w:rFonts w:ascii="Times New Roman" w:eastAsia="MS Mincho" w:hAnsi="Times New Roman" w:cs="Times New Roman"/>
      <w:sz w:val="20"/>
      <w:szCs w:val="24"/>
      <w:lang w:eastAsia="ja-JP"/>
    </w:rPr>
  </w:style>
  <w:style w:type="paragraph" w:styleId="Caption">
    <w:name w:val="caption"/>
    <w:basedOn w:val="Normal"/>
    <w:next w:val="Normal"/>
    <w:uiPriority w:val="35"/>
    <w:unhideWhenUsed/>
    <w:qFormat/>
    <w:rsid w:val="007A6FB6"/>
    <w:pPr>
      <w:spacing w:after="200"/>
    </w:pPr>
    <w:rPr>
      <w:b/>
      <w:bCs/>
      <w:color w:val="4F81BD" w:themeColor="accent1"/>
      <w:sz w:val="18"/>
      <w:szCs w:val="18"/>
    </w:rPr>
  </w:style>
  <w:style w:type="paragraph" w:customStyle="1" w:styleId="Title2">
    <w:name w:val="Title2"/>
    <w:basedOn w:val="Normal"/>
    <w:rsid w:val="007A6FB6"/>
    <w:pPr>
      <w:widowControl/>
    </w:pPr>
    <w:rPr>
      <w:rFonts w:ascii="Times New Roman" w:eastAsia="MS Mincho" w:hAnsi="Times New Roman" w:cs="Times New Roman"/>
      <w:b/>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Lafleur, S.</cp:lastModifiedBy>
  <cp:revision>5</cp:revision>
  <dcterms:created xsi:type="dcterms:W3CDTF">2018-02-09T11:09:00Z</dcterms:created>
  <dcterms:modified xsi:type="dcterms:W3CDTF">2018-02-09T13:59:00Z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