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Clinical Profile Of Patients With Optic Atrophy Nakul Verma</w:t>
      </w:r>
      <w:r>
        <w:rPr>
          <w:rtl w:val="0"/>
        </w:rPr>
        <w:t>; Rajeev Tuli; Gaurav Sharma</w:t>
      </w:r>
    </w:p>
    <w:p>
      <w:pPr>
        <w:pStyle w:val="Body"/>
        <w:bidi w:val="0"/>
      </w:pPr>
      <w:r>
        <w:rPr>
          <w:rtl w:val="0"/>
        </w:rPr>
        <w:t>Purpose: To study the clinical profile of patients with optic atrophy excluding glaucomatous optic atrophy</w:t>
      </w:r>
    </w:p>
    <w:p>
      <w:pPr>
        <w:pStyle w:val="Body"/>
        <w:bidi w:val="0"/>
      </w:pPr>
      <w:r>
        <w:rPr>
          <w:rtl w:val="0"/>
        </w:rPr>
        <w:t>Setting/Venue: Tertiary care hospital in Himachal Pradesh India</w:t>
      </w:r>
    </w:p>
    <w:p>
      <w:pPr>
        <w:pStyle w:val="Body"/>
        <w:bidi w:val="0"/>
      </w:pPr>
      <w:r>
        <w:rPr>
          <w:rtl w:val="0"/>
        </w:rPr>
        <w:t>Methods: Patients of both the genders of any age group having Optic Atrophy excluding glaucomatous optic atrophy were included in the study after taking consent on a prescribed performa. Relevant data like past history, visual acuity, colour vision, IOP, automated perimetry, fundus photo, RNFL thickness, central macular thickness and other findings were recorded.</w:t>
      </w:r>
    </w:p>
    <w:p>
      <w:pPr>
        <w:pStyle w:val="Body"/>
        <w:bidi w:val="0"/>
      </w:pPr>
      <w:r>
        <w:rPr>
          <w:rtl w:val="0"/>
        </w:rPr>
        <w:t>Results: A total of 41 subjects were included in this study 22 males and 19 females. Out of 22 males 7 had optic atrophy following traumatic optic neuropathy as males are more involved in dangerous activities.</w:t>
      </w:r>
    </w:p>
    <w:p>
      <w:pPr>
        <w:pStyle w:val="Body"/>
        <w:bidi w:val="0"/>
      </w:pPr>
      <w:r>
        <w:rPr>
          <w:rtl w:val="0"/>
        </w:rPr>
        <w:t>6 subjects all males had optic atrophy due to unknown cause due to poor availability and high costs of genetic testing.</w:t>
      </w:r>
    </w:p>
    <w:p>
      <w:pPr>
        <w:pStyle w:val="Body"/>
        <w:bidi w:val="0"/>
      </w:pPr>
      <w:r>
        <w:rPr>
          <w:rtl w:val="0"/>
        </w:rPr>
        <w:t>There were 7 subjects having raised intracranial pressure with idiopathic intracranial hypertension being the most common cause.</w:t>
      </w:r>
    </w:p>
    <w:p>
      <w:pPr>
        <w:pStyle w:val="Body"/>
        <w:bidi w:val="0"/>
      </w:pPr>
      <w:r>
        <w:rPr>
          <w:rtl w:val="0"/>
        </w:rPr>
        <w:t>A total of 6 subjects had optic atrophy secondary to ICSOLs with a female preponderance.</w:t>
      </w:r>
    </w:p>
    <w:p>
      <w:pPr>
        <w:pStyle w:val="Body"/>
        <w:bidi w:val="0"/>
      </w:pPr>
      <w:r>
        <w:rPr>
          <w:rtl w:val="0"/>
        </w:rPr>
        <w:t>Conclusions: Non glaucomatous optic atrophy is not an uncommon presentation &amp; it is an important sign that may be associated with serious systemic conditions having a significant bearing on overall morbidity or mortality of the patient.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