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98F81D" w14:textId="4B33DAF4" w:rsidR="000C2113" w:rsidRPr="0072277C" w:rsidRDefault="000C2113" w:rsidP="000C2113">
      <w:pPr>
        <w:tabs>
          <w:tab w:val="left" w:pos="0"/>
        </w:tabs>
        <w:spacing w:line="360" w:lineRule="auto"/>
        <w:jc w:val="center"/>
        <w:rPr>
          <w:rFonts w:ascii="Arial" w:hAnsi="Arial" w:cs="Arial"/>
          <w:b/>
          <w:bCs/>
          <w:color w:val="FF0000"/>
          <w:sz w:val="32"/>
          <w:szCs w:val="32"/>
          <w:lang w:val="en-US"/>
        </w:rPr>
      </w:pPr>
      <w:r w:rsidRPr="0072277C">
        <w:rPr>
          <w:rFonts w:ascii="Arial" w:hAnsi="Arial" w:cs="Arial"/>
          <w:b/>
          <w:bCs/>
          <w:color w:val="FF0000"/>
          <w:sz w:val="32"/>
          <w:szCs w:val="32"/>
          <w:lang w:val="en-US"/>
        </w:rPr>
        <w:t>ABSTRACT per LIQUID BIOPSY CONFERENCE</w:t>
      </w:r>
    </w:p>
    <w:p w14:paraId="089FF422" w14:textId="73EA9668" w:rsidR="000C2113" w:rsidRPr="000C2113" w:rsidRDefault="000C2113" w:rsidP="000C2113">
      <w:pPr>
        <w:tabs>
          <w:tab w:val="left" w:pos="0"/>
        </w:tabs>
        <w:spacing w:line="360" w:lineRule="auto"/>
        <w:jc w:val="both"/>
        <w:rPr>
          <w:rFonts w:ascii="Arial" w:hAnsi="Arial" w:cs="Arial"/>
        </w:rPr>
      </w:pPr>
      <w:r w:rsidRPr="000C2113">
        <w:rPr>
          <w:rFonts w:ascii="Arial" w:hAnsi="Arial" w:cs="Arial"/>
          <w:b/>
          <w:bCs/>
        </w:rPr>
        <w:t xml:space="preserve">Valutazione delle cellule tumorali circolanti nelle pazienti con carcinoma </w:t>
      </w:r>
    </w:p>
    <w:p w14:paraId="57934224" w14:textId="7AC9D226" w:rsidR="000C2113" w:rsidRDefault="000C2113" w:rsidP="000C2113">
      <w:pPr>
        <w:tabs>
          <w:tab w:val="left" w:pos="0"/>
        </w:tabs>
        <w:spacing w:line="360" w:lineRule="auto"/>
        <w:jc w:val="both"/>
        <w:rPr>
          <w:rFonts w:ascii="Arial" w:hAnsi="Arial" w:cs="Arial"/>
        </w:rPr>
      </w:pPr>
      <w:r w:rsidRPr="000C2113">
        <w:rPr>
          <w:rFonts w:ascii="Arial" w:hAnsi="Arial" w:cs="Arial"/>
          <w:b/>
          <w:bCs/>
        </w:rPr>
        <w:t xml:space="preserve">della mammella </w:t>
      </w:r>
    </w:p>
    <w:p w14:paraId="47B1ECB9" w14:textId="57FB1CF8" w:rsidR="000C2113" w:rsidRDefault="000C2113" w:rsidP="000C2113">
      <w:pPr>
        <w:tabs>
          <w:tab w:val="left" w:pos="0"/>
        </w:tabs>
        <w:spacing w:line="360" w:lineRule="auto"/>
        <w:jc w:val="both"/>
        <w:rPr>
          <w:rFonts w:ascii="Arial" w:hAnsi="Arial" w:cs="Arial"/>
        </w:rPr>
      </w:pPr>
      <w:r w:rsidRPr="0005323B">
        <w:rPr>
          <w:rFonts w:ascii="Arial" w:hAnsi="Arial" w:cs="Arial"/>
        </w:rPr>
        <w:t>La caratterizzazione diagnostica delle neoplasie mammarie ad alto rischio è ancora subottimale a causa di un’elevata percentuale di pazienti che possono ricadere</w:t>
      </w:r>
      <w:r>
        <w:rPr>
          <w:rFonts w:ascii="Arial" w:hAnsi="Arial" w:cs="Arial"/>
        </w:rPr>
        <w:t xml:space="preserve"> </w:t>
      </w:r>
      <w:r w:rsidRPr="0005323B">
        <w:rPr>
          <w:rFonts w:ascii="Arial" w:hAnsi="Arial" w:cs="Arial"/>
        </w:rPr>
        <w:t>e una limitata personalizzazione delle terapie iniziali</w:t>
      </w:r>
      <w:r>
        <w:rPr>
          <w:rFonts w:ascii="Arial" w:hAnsi="Arial" w:cs="Arial"/>
        </w:rPr>
        <w:t xml:space="preserve">. </w:t>
      </w:r>
      <w:r w:rsidRPr="0005323B">
        <w:rPr>
          <w:rFonts w:ascii="Arial" w:hAnsi="Arial" w:cs="Arial"/>
        </w:rPr>
        <w:t>È quindi estremamente importante determinare nuovi biomarcatori in grado di monitorare l'efficacia della terapia</w:t>
      </w:r>
      <w:r>
        <w:rPr>
          <w:rFonts w:ascii="Arial" w:hAnsi="Arial" w:cs="Arial"/>
        </w:rPr>
        <w:t xml:space="preserve">, </w:t>
      </w:r>
      <w:r w:rsidRPr="0005323B">
        <w:rPr>
          <w:rFonts w:ascii="Arial" w:hAnsi="Arial" w:cs="Arial"/>
        </w:rPr>
        <w:t>di eventuali recidive</w:t>
      </w:r>
      <w:r>
        <w:rPr>
          <w:rFonts w:ascii="Arial" w:hAnsi="Arial" w:cs="Arial"/>
        </w:rPr>
        <w:t xml:space="preserve"> </w:t>
      </w:r>
      <w:r w:rsidRPr="0005323B">
        <w:rPr>
          <w:rFonts w:ascii="Arial" w:hAnsi="Arial" w:cs="Arial"/>
        </w:rPr>
        <w:t xml:space="preserve">di prevedere la risposta al </w:t>
      </w:r>
      <w:r>
        <w:rPr>
          <w:rFonts w:ascii="Arial" w:hAnsi="Arial" w:cs="Arial"/>
        </w:rPr>
        <w:t>trattamento.</w:t>
      </w:r>
    </w:p>
    <w:p w14:paraId="0FD35352" w14:textId="54110BFD" w:rsidR="000C2113" w:rsidRDefault="000C2113" w:rsidP="000C2113">
      <w:pPr>
        <w:tabs>
          <w:tab w:val="left" w:pos="0"/>
        </w:tabs>
        <w:spacing w:line="360" w:lineRule="auto"/>
        <w:jc w:val="both"/>
        <w:rPr>
          <w:rFonts w:ascii="Arial" w:hAnsi="Arial" w:cs="Arial"/>
        </w:rPr>
      </w:pPr>
      <w:r w:rsidRPr="005F44BF">
        <w:rPr>
          <w:rFonts w:ascii="Arial" w:hAnsi="Arial" w:cs="Arial"/>
        </w:rPr>
        <w:t>Attualmente vi è grande interesse riguardo</w:t>
      </w:r>
      <w:r>
        <w:rPr>
          <w:rFonts w:ascii="Arial" w:hAnsi="Arial" w:cs="Arial"/>
        </w:rPr>
        <w:t xml:space="preserve"> la</w:t>
      </w:r>
      <w:r w:rsidRPr="005F44BF">
        <w:rPr>
          <w:rFonts w:ascii="Arial" w:hAnsi="Arial" w:cs="Arial"/>
        </w:rPr>
        <w:t xml:space="preserve"> </w:t>
      </w:r>
      <w:r w:rsidRPr="005F44BF">
        <w:rPr>
          <w:rFonts w:ascii="Arial" w:hAnsi="Arial" w:cs="Arial"/>
          <w:i/>
          <w:iCs/>
        </w:rPr>
        <w:t>biopsia liquida</w:t>
      </w:r>
      <w:r>
        <w:rPr>
          <w:rFonts w:ascii="Arial" w:hAnsi="Arial" w:cs="Arial"/>
          <w:i/>
          <w:iCs/>
        </w:rPr>
        <w:t>,</w:t>
      </w:r>
      <w:r>
        <w:rPr>
          <w:rFonts w:ascii="Arial" w:hAnsi="Arial" w:cs="Arial"/>
        </w:rPr>
        <w:t xml:space="preserve"> una metodica</w:t>
      </w:r>
      <w:r w:rsidRPr="005F44BF">
        <w:rPr>
          <w:rFonts w:ascii="Arial" w:hAnsi="Arial" w:cs="Arial"/>
        </w:rPr>
        <w:t xml:space="preserve"> che rappresenta un nuovo strumento d’utilità diagnostica da integrare alle tradizionali tecniche di biopsia. In particolare, la valutazione e l'analisi dei profili mutazionali delle Cellule Tumorali Circolanti (CTC) nel sangue ha dimostrato di poter fornire utili informazioni </w:t>
      </w:r>
      <w:r>
        <w:rPr>
          <w:rFonts w:ascii="Arial" w:hAnsi="Arial" w:cs="Arial"/>
        </w:rPr>
        <w:t xml:space="preserve">terapeutiche. </w:t>
      </w:r>
    </w:p>
    <w:p w14:paraId="2D05CD64" w14:textId="77777777" w:rsidR="000C2113" w:rsidRDefault="000C2113" w:rsidP="000C2113">
      <w:pPr>
        <w:tabs>
          <w:tab w:val="left" w:pos="0"/>
        </w:tabs>
        <w:spacing w:line="360" w:lineRule="auto"/>
        <w:jc w:val="both"/>
        <w:rPr>
          <w:rFonts w:ascii="Arial" w:hAnsi="Arial" w:cs="Arial"/>
        </w:rPr>
      </w:pPr>
    </w:p>
    <w:p w14:paraId="393029A9" w14:textId="77777777" w:rsidR="000C2113" w:rsidRDefault="000C2113" w:rsidP="000C2113">
      <w:pPr>
        <w:tabs>
          <w:tab w:val="left" w:pos="0"/>
        </w:tabs>
        <w:spacing w:line="360" w:lineRule="auto"/>
        <w:jc w:val="both"/>
        <w:rPr>
          <w:rFonts w:ascii="Arial" w:hAnsi="Arial" w:cs="Arial"/>
        </w:rPr>
      </w:pPr>
      <w:r w:rsidRPr="005F44BF">
        <w:rPr>
          <w:rFonts w:ascii="Arial" w:hAnsi="Arial" w:cs="Arial"/>
        </w:rPr>
        <w:t>I piani terapeutici comportano spesso la chirurgia combinata a una terapia adiuvante e/o neo</w:t>
      </w:r>
      <w:r>
        <w:rPr>
          <w:rFonts w:ascii="Arial" w:hAnsi="Arial" w:cs="Arial"/>
        </w:rPr>
        <w:t>-</w:t>
      </w:r>
      <w:r w:rsidRPr="005F44BF">
        <w:rPr>
          <w:rFonts w:ascii="Arial" w:hAnsi="Arial" w:cs="Arial"/>
        </w:rPr>
        <w:t>adiuvante. In particolare, le terapie neo</w:t>
      </w:r>
      <w:r>
        <w:rPr>
          <w:rFonts w:ascii="Arial" w:hAnsi="Arial" w:cs="Arial"/>
        </w:rPr>
        <w:t>-</w:t>
      </w:r>
      <w:r w:rsidRPr="005F44BF">
        <w:rPr>
          <w:rFonts w:ascii="Arial" w:hAnsi="Arial" w:cs="Arial"/>
        </w:rPr>
        <w:t>adiuvanti vengono effettuate prima del trattamento principale per aiutare a ridurre le dimensioni del tumore</w:t>
      </w:r>
      <w:r>
        <w:rPr>
          <w:rFonts w:ascii="Arial" w:hAnsi="Arial" w:cs="Arial"/>
        </w:rPr>
        <w:t>.</w:t>
      </w:r>
    </w:p>
    <w:p w14:paraId="07BB0D11" w14:textId="52A53F0F" w:rsidR="000C2113" w:rsidRDefault="000C2113" w:rsidP="000C2113">
      <w:pPr>
        <w:tabs>
          <w:tab w:val="left" w:pos="0"/>
        </w:tabs>
        <w:spacing w:line="360" w:lineRule="auto"/>
        <w:jc w:val="both"/>
        <w:rPr>
          <w:rFonts w:ascii="Arial" w:hAnsi="Arial" w:cs="Arial"/>
        </w:rPr>
      </w:pPr>
      <w:r w:rsidRPr="005F44BF">
        <w:rPr>
          <w:rFonts w:ascii="Arial" w:hAnsi="Arial" w:cs="Arial"/>
        </w:rPr>
        <w:t>In generale, diversi sottotipi biologici di carcinoma mammario mostrano differenze nella propensione alla diffusione metastatica</w:t>
      </w:r>
      <w:r>
        <w:rPr>
          <w:rFonts w:ascii="Arial" w:hAnsi="Arial" w:cs="Arial"/>
        </w:rPr>
        <w:t>: n</w:t>
      </w:r>
      <w:r w:rsidRPr="005F44BF">
        <w:rPr>
          <w:rFonts w:ascii="Arial" w:hAnsi="Arial" w:cs="Arial"/>
        </w:rPr>
        <w:t xml:space="preserve">ei tumori HER2+ (circa il 20% dei casi) la prognosi è </w:t>
      </w:r>
      <w:r>
        <w:rPr>
          <w:rFonts w:ascii="Arial" w:hAnsi="Arial" w:cs="Arial"/>
        </w:rPr>
        <w:t>spesso sfavorevole,</w:t>
      </w:r>
      <w:r w:rsidRPr="005F44BF">
        <w:rPr>
          <w:rFonts w:ascii="Arial" w:hAnsi="Arial" w:cs="Arial"/>
        </w:rPr>
        <w:t xml:space="preserve"> sebbene possano essere trattati con terapia mirata anti-HER2</w:t>
      </w:r>
      <w:r>
        <w:rPr>
          <w:rFonts w:ascii="Arial" w:hAnsi="Arial" w:cs="Arial"/>
        </w:rPr>
        <w:t>; invece, il</w:t>
      </w:r>
      <w:r w:rsidRPr="005F44BF">
        <w:rPr>
          <w:rFonts w:ascii="Arial" w:hAnsi="Arial" w:cs="Arial"/>
        </w:rPr>
        <w:t xml:space="preserve"> carcinoma mammario triplo negativo</w:t>
      </w:r>
      <w:r>
        <w:rPr>
          <w:rFonts w:ascii="Arial" w:hAnsi="Arial" w:cs="Arial"/>
        </w:rPr>
        <w:t xml:space="preserve"> (</w:t>
      </w:r>
      <w:r w:rsidRPr="005F44BF">
        <w:rPr>
          <w:rFonts w:ascii="Arial" w:hAnsi="Arial" w:cs="Arial"/>
        </w:rPr>
        <w:t>circa il 15% di tutti i casi</w:t>
      </w:r>
      <w:r>
        <w:rPr>
          <w:rFonts w:ascii="Arial" w:hAnsi="Arial" w:cs="Arial"/>
        </w:rPr>
        <w:t xml:space="preserve">) tende </w:t>
      </w:r>
      <w:r w:rsidRPr="005F44BF">
        <w:rPr>
          <w:rFonts w:ascii="Arial" w:hAnsi="Arial" w:cs="Arial"/>
        </w:rPr>
        <w:t>a disseminarsi rapidamente e la percentuale di metastasi è elevata.</w:t>
      </w:r>
    </w:p>
    <w:p w14:paraId="2870F21A" w14:textId="77777777" w:rsidR="000C2113" w:rsidRDefault="000C2113" w:rsidP="000C2113">
      <w:pPr>
        <w:tabs>
          <w:tab w:val="left" w:pos="0"/>
        </w:tabs>
        <w:spacing w:line="360" w:lineRule="auto"/>
        <w:jc w:val="both"/>
        <w:rPr>
          <w:rFonts w:ascii="Arial" w:hAnsi="Arial" w:cs="Arial"/>
        </w:rPr>
      </w:pPr>
    </w:p>
    <w:p w14:paraId="708A4938" w14:textId="20D14A7F" w:rsidR="000C2113" w:rsidRDefault="000C2113" w:rsidP="0072277C">
      <w:pPr>
        <w:spacing w:line="360" w:lineRule="auto"/>
        <w:rPr>
          <w:rFonts w:ascii="Arial" w:hAnsi="Arial" w:cs="Arial"/>
        </w:rPr>
      </w:pPr>
      <w:r w:rsidRPr="004835DF">
        <w:rPr>
          <w:rFonts w:ascii="Arial" w:hAnsi="Arial" w:cs="Arial"/>
        </w:rPr>
        <w:t xml:space="preserve">L’obiettivo </w:t>
      </w:r>
      <w:r>
        <w:rPr>
          <w:rFonts w:ascii="Arial" w:hAnsi="Arial" w:cs="Arial"/>
        </w:rPr>
        <w:t>principale</w:t>
      </w:r>
      <w:r w:rsidRPr="004835DF">
        <w:rPr>
          <w:rFonts w:ascii="Arial" w:hAnsi="Arial" w:cs="Arial"/>
        </w:rPr>
        <w:t xml:space="preserve"> dello studio è quello di effettuare una valutazione dell’informazione fornita </w:t>
      </w:r>
      <w:r>
        <w:rPr>
          <w:rFonts w:ascii="Arial" w:hAnsi="Arial" w:cs="Arial"/>
        </w:rPr>
        <w:t>dalla</w:t>
      </w:r>
      <w:r w:rsidRPr="004835DF">
        <w:rPr>
          <w:rFonts w:ascii="Arial" w:hAnsi="Arial" w:cs="Arial"/>
        </w:rPr>
        <w:t xml:space="preserve"> biopsia liquida sia nella caratterizzazione diagnostica iniziale della neoplasia</w:t>
      </w:r>
      <w:r>
        <w:rPr>
          <w:rFonts w:ascii="Arial" w:hAnsi="Arial" w:cs="Arial"/>
        </w:rPr>
        <w:t xml:space="preserve"> </w:t>
      </w:r>
      <w:r w:rsidRPr="000C2113">
        <w:rPr>
          <w:rFonts w:ascii="Arial" w:hAnsi="Arial" w:cs="Arial"/>
        </w:rPr>
        <w:t>che nella possibilità di prevedere la risposta alla terapia neo-adiuvante. I risultati attesi contribuiranno a definire il ruolo degli approcci di biopsia liquida nelle pazienti con carcinoma mammario. Per tale fine, l’obiettivo primario riguarda la valutazione del numero di CTC alla diagnosi e dopo risposta alla chemioterapia neo-adiuvante nel carcinoma della mammella HER2+ e triplo negativo; l’obiettivo secondario concerne la valutazione della correlazione tra numero di CTC alla diagnosi e alla fine del trattamento, al fine di valutare la risposta alla chemioterapia neo-adiuvante.</w:t>
      </w:r>
    </w:p>
    <w:p w14:paraId="1823BD4F" w14:textId="5464FE64" w:rsidR="000C2113" w:rsidRDefault="000C2113">
      <w:pPr>
        <w:rPr>
          <w:rFonts w:ascii="Arial" w:hAnsi="Arial" w:cs="Arial"/>
        </w:rPr>
      </w:pPr>
    </w:p>
    <w:p w14:paraId="6A3AFC36" w14:textId="77777777" w:rsidR="000C2113" w:rsidRPr="000C2113" w:rsidRDefault="000C2113" w:rsidP="000C2113">
      <w:pPr>
        <w:pStyle w:val="NormaleWeb"/>
        <w:rPr>
          <w:lang w:val="en-US"/>
        </w:rPr>
      </w:pPr>
      <w:r w:rsidRPr="000C2113">
        <w:rPr>
          <w:rFonts w:ascii="Arial" w:hAnsi="Arial" w:cs="Arial"/>
          <w:b/>
          <w:bCs/>
          <w:sz w:val="36"/>
          <w:szCs w:val="36"/>
          <w:lang w:val="en-US"/>
        </w:rPr>
        <w:lastRenderedPageBreak/>
        <w:t xml:space="preserve">Evaluation of circulating tumor cells (CTC) in patients with breast cancer </w:t>
      </w:r>
    </w:p>
    <w:p w14:paraId="4180204A" w14:textId="77777777" w:rsidR="000C2113" w:rsidRPr="000C2113" w:rsidRDefault="000C2113">
      <w:pPr>
        <w:rPr>
          <w:rFonts w:ascii="Arial" w:hAnsi="Arial" w:cs="Arial"/>
          <w:lang w:val="en-US"/>
        </w:rPr>
      </w:pPr>
    </w:p>
    <w:p w14:paraId="2F37EEE1" w14:textId="77777777" w:rsidR="000C2113" w:rsidRPr="0072277C" w:rsidRDefault="000C2113" w:rsidP="0072277C">
      <w:pPr>
        <w:spacing w:line="360" w:lineRule="auto"/>
        <w:rPr>
          <w:rFonts w:ascii="Arial" w:hAnsi="Arial" w:cs="Arial"/>
          <w:lang w:val="en-US"/>
        </w:rPr>
      </w:pPr>
      <w:r w:rsidRPr="0072277C">
        <w:rPr>
          <w:rFonts w:ascii="Arial" w:hAnsi="Arial" w:cs="Arial"/>
          <w:lang w:val="en-US"/>
        </w:rPr>
        <w:t>Diagnostic characterization of high-risk breast cancer is still sub-optimal due to a high percentage of patients who may relapse and limited personalization of initial therapies. It is therefore extremely important to determine new biomarkers that can monitor the effectiveness of therapy, of any relapses to predict the response to treatment.</w:t>
      </w:r>
    </w:p>
    <w:p w14:paraId="74A42DE4" w14:textId="0DEF5D79" w:rsidR="000C2113" w:rsidRPr="0072277C" w:rsidRDefault="000C2113" w:rsidP="0072277C">
      <w:pPr>
        <w:spacing w:line="360" w:lineRule="auto"/>
        <w:rPr>
          <w:rFonts w:ascii="Arial" w:hAnsi="Arial" w:cs="Arial"/>
          <w:lang w:val="en-US"/>
        </w:rPr>
      </w:pPr>
      <w:r w:rsidRPr="0072277C">
        <w:rPr>
          <w:rFonts w:ascii="Arial" w:hAnsi="Arial" w:cs="Arial"/>
          <w:lang w:val="en-US"/>
        </w:rPr>
        <w:t>There is currently great interest in liquid biopsy, a method that represents a new diagnostic utility tool to be integrated with traditional biopsy techniques. In particular, the evaluation and analysis of mutational profiles of circulating cancer cells (CTCs) in the blood has been shown to provide useful therapeutic information.</w:t>
      </w:r>
    </w:p>
    <w:p w14:paraId="32E1A2EE" w14:textId="1534523D" w:rsidR="000C2113" w:rsidRPr="0072277C" w:rsidRDefault="000C2113" w:rsidP="0072277C">
      <w:pPr>
        <w:spacing w:line="360" w:lineRule="auto"/>
        <w:rPr>
          <w:rFonts w:ascii="Arial" w:hAnsi="Arial" w:cs="Arial"/>
          <w:lang w:val="en-US"/>
        </w:rPr>
      </w:pPr>
    </w:p>
    <w:p w14:paraId="6AA48198" w14:textId="747708F3" w:rsidR="000C2113" w:rsidRPr="0072277C" w:rsidRDefault="000C2113" w:rsidP="0072277C">
      <w:pPr>
        <w:spacing w:line="360" w:lineRule="auto"/>
        <w:rPr>
          <w:rFonts w:ascii="Arial" w:hAnsi="Arial" w:cs="Arial"/>
          <w:lang w:val="en-US"/>
        </w:rPr>
      </w:pPr>
      <w:r w:rsidRPr="0072277C">
        <w:rPr>
          <w:rFonts w:ascii="Arial" w:hAnsi="Arial" w:cs="Arial"/>
          <w:lang w:val="en-US"/>
        </w:rPr>
        <w:t xml:space="preserve">Treatment plans often involve surgery combined with adjuvant and/or neo-adjuvant therapy. </w:t>
      </w:r>
      <w:r w:rsidR="00BE5A5E">
        <w:rPr>
          <w:rFonts w:ascii="Arial" w:hAnsi="Arial" w:cs="Arial"/>
          <w:lang w:val="en-US"/>
        </w:rPr>
        <w:t>In particular, neo</w:t>
      </w:r>
      <w:r w:rsidR="0072277C" w:rsidRPr="0072277C">
        <w:rPr>
          <w:rFonts w:ascii="Arial" w:hAnsi="Arial" w:cs="Arial"/>
          <w:lang w:val="en-US"/>
        </w:rPr>
        <w:t>-</w:t>
      </w:r>
      <w:r w:rsidRPr="0072277C">
        <w:rPr>
          <w:rFonts w:ascii="Arial" w:hAnsi="Arial" w:cs="Arial"/>
          <w:lang w:val="en-US"/>
        </w:rPr>
        <w:t>adjuvant therapies are carried out before the main treatment to help reduce the size of the tumor.</w:t>
      </w:r>
    </w:p>
    <w:p w14:paraId="1343B678" w14:textId="51FDAB8B" w:rsidR="000C2113" w:rsidRPr="0072277C" w:rsidRDefault="000C2113" w:rsidP="0072277C">
      <w:pPr>
        <w:spacing w:line="360" w:lineRule="auto"/>
        <w:rPr>
          <w:rFonts w:ascii="Arial" w:hAnsi="Arial" w:cs="Arial"/>
          <w:lang w:val="en-US"/>
        </w:rPr>
      </w:pPr>
      <w:r w:rsidRPr="0072277C">
        <w:rPr>
          <w:rFonts w:ascii="Arial" w:hAnsi="Arial" w:cs="Arial"/>
          <w:lang w:val="en-US"/>
        </w:rPr>
        <w:t xml:space="preserve">In general, several biological subtypes of breast cancer show differences in the propensity to metastatic spread: in HER2+ tumors (about 20% of cases) the prognosis is often poor, although they can be treated with targeted anti -HER2; </w:t>
      </w:r>
      <w:r w:rsidR="00315D2F">
        <w:rPr>
          <w:rFonts w:ascii="Arial" w:hAnsi="Arial" w:cs="Arial"/>
          <w:lang w:val="en-US"/>
        </w:rPr>
        <w:t>moreover</w:t>
      </w:r>
      <w:r w:rsidRPr="0072277C">
        <w:rPr>
          <w:rFonts w:ascii="Arial" w:hAnsi="Arial" w:cs="Arial"/>
          <w:lang w:val="en-US"/>
        </w:rPr>
        <w:t>, triple negative breast cancer (about 15% of all cases) tends to spread rapidly and the percentage of metastases is high.</w:t>
      </w:r>
    </w:p>
    <w:p w14:paraId="53BFD677" w14:textId="01936AD3" w:rsidR="000C2113" w:rsidRPr="0072277C" w:rsidRDefault="000C2113" w:rsidP="0072277C">
      <w:pPr>
        <w:spacing w:line="360" w:lineRule="auto"/>
        <w:rPr>
          <w:rFonts w:ascii="Arial" w:hAnsi="Arial" w:cs="Arial"/>
          <w:lang w:val="en-US"/>
        </w:rPr>
      </w:pPr>
    </w:p>
    <w:p w14:paraId="0F75E118" w14:textId="3ACC9098" w:rsidR="000C2113" w:rsidRPr="0072277C" w:rsidRDefault="000C2113" w:rsidP="0072277C">
      <w:pPr>
        <w:spacing w:line="360" w:lineRule="auto"/>
        <w:rPr>
          <w:rFonts w:ascii="Arial" w:hAnsi="Arial" w:cs="Arial"/>
          <w:lang w:val="en-US"/>
        </w:rPr>
      </w:pPr>
      <w:r w:rsidRPr="0072277C">
        <w:rPr>
          <w:rFonts w:ascii="Arial" w:hAnsi="Arial" w:cs="Arial"/>
          <w:lang w:val="en-US"/>
        </w:rPr>
        <w:t xml:space="preserve">The expected results </w:t>
      </w:r>
      <w:r w:rsidR="0072277C" w:rsidRPr="0072277C">
        <w:rPr>
          <w:rFonts w:ascii="Arial" w:hAnsi="Arial" w:cs="Arial"/>
          <w:lang w:val="en-US"/>
        </w:rPr>
        <w:t xml:space="preserve">of the study </w:t>
      </w:r>
      <w:r w:rsidRPr="0072277C">
        <w:rPr>
          <w:rFonts w:ascii="Arial" w:hAnsi="Arial" w:cs="Arial"/>
          <w:lang w:val="en-US"/>
        </w:rPr>
        <w:t xml:space="preserve">will help define the role of liquid biopsy approaches in patients with breast cancer. For this purpose, the primary objective concerns the assessment of the number of CTCs at diagnosis and after response to neo-adjuvant chemotherapy in HER2+ and triple negative breast cancer; </w:t>
      </w:r>
      <w:r w:rsidR="0072277C">
        <w:rPr>
          <w:rFonts w:ascii="Arial" w:hAnsi="Arial" w:cs="Arial"/>
          <w:lang w:val="en-US"/>
        </w:rPr>
        <w:t>t</w:t>
      </w:r>
      <w:r w:rsidRPr="0072277C">
        <w:rPr>
          <w:rFonts w:ascii="Arial" w:hAnsi="Arial" w:cs="Arial"/>
          <w:lang w:val="en-US"/>
        </w:rPr>
        <w:t>he secondary objective concerns the assessment of the correlation between the number of CTCs at diagnosis and at the end of treatment, in order to assess the response to neo-adjuvant chemotherapy.</w:t>
      </w:r>
      <w:r w:rsidR="0072277C" w:rsidRPr="0072277C">
        <w:rPr>
          <w:rFonts w:ascii="Arial" w:hAnsi="Arial" w:cs="Arial"/>
          <w:lang w:val="en-US"/>
        </w:rPr>
        <w:t xml:space="preserve"> </w:t>
      </w:r>
      <w:r w:rsidR="0072277C" w:rsidRPr="0072277C">
        <w:rPr>
          <w:rFonts w:ascii="Arial" w:hAnsi="Arial" w:cs="Arial"/>
          <w:lang w:val="en-US"/>
        </w:rPr>
        <w:t>The main objective is to assess the information provided by the liquid biopsy both in the initial diagnostic characterization of the neoplasm and in the possibility of predicting the response to neo-adjuvant therapy.</w:t>
      </w:r>
    </w:p>
    <w:sectPr w:rsidR="000C2113" w:rsidRPr="0072277C" w:rsidSect="00733BCF">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2113"/>
    <w:rsid w:val="000C2113"/>
    <w:rsid w:val="00315D2F"/>
    <w:rsid w:val="0072277C"/>
    <w:rsid w:val="00733BCF"/>
    <w:rsid w:val="00960792"/>
    <w:rsid w:val="00A0312F"/>
    <w:rsid w:val="00BE5A5E"/>
    <w:rsid w:val="00D15205"/>
    <w:rsid w:val="00FA789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6569A870"/>
  <w15:chartTrackingRefBased/>
  <w15:docId w15:val="{42CC87B1-A1FC-A245-BF11-BEB5428CA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C2113"/>
    <w:rPr>
      <w:rFonts w:ascii="Times New Roman" w:eastAsia="MS Mincho" w:hAnsi="Times New Roman" w:cs="Times New Roman"/>
      <w:lang w:eastAsia="ja-JP"/>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0C2113"/>
    <w:pPr>
      <w:spacing w:before="100" w:beforeAutospacing="1" w:after="100" w:afterAutospacing="1"/>
    </w:pPr>
    <w:rPr>
      <w:rFonts w:eastAsia="Times New Roman"/>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8061148">
      <w:bodyDiv w:val="1"/>
      <w:marLeft w:val="0"/>
      <w:marRight w:val="0"/>
      <w:marTop w:val="0"/>
      <w:marBottom w:val="0"/>
      <w:divBdr>
        <w:top w:val="none" w:sz="0" w:space="0" w:color="auto"/>
        <w:left w:val="none" w:sz="0" w:space="0" w:color="auto"/>
        <w:bottom w:val="none" w:sz="0" w:space="0" w:color="auto"/>
        <w:right w:val="none" w:sz="0" w:space="0" w:color="auto"/>
      </w:divBdr>
      <w:divsChild>
        <w:div w:id="1932549017">
          <w:marLeft w:val="0"/>
          <w:marRight w:val="0"/>
          <w:marTop w:val="0"/>
          <w:marBottom w:val="0"/>
          <w:divBdr>
            <w:top w:val="none" w:sz="0" w:space="0" w:color="auto"/>
            <w:left w:val="none" w:sz="0" w:space="0" w:color="auto"/>
            <w:bottom w:val="none" w:sz="0" w:space="0" w:color="auto"/>
            <w:right w:val="none" w:sz="0" w:space="0" w:color="auto"/>
          </w:divBdr>
          <w:divsChild>
            <w:div w:id="72744963">
              <w:marLeft w:val="0"/>
              <w:marRight w:val="0"/>
              <w:marTop w:val="0"/>
              <w:marBottom w:val="0"/>
              <w:divBdr>
                <w:top w:val="none" w:sz="0" w:space="0" w:color="auto"/>
                <w:left w:val="none" w:sz="0" w:space="0" w:color="auto"/>
                <w:bottom w:val="none" w:sz="0" w:space="0" w:color="auto"/>
                <w:right w:val="none" w:sz="0" w:space="0" w:color="auto"/>
              </w:divBdr>
              <w:divsChild>
                <w:div w:id="1626111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4543997">
      <w:bodyDiv w:val="1"/>
      <w:marLeft w:val="0"/>
      <w:marRight w:val="0"/>
      <w:marTop w:val="0"/>
      <w:marBottom w:val="0"/>
      <w:divBdr>
        <w:top w:val="none" w:sz="0" w:space="0" w:color="auto"/>
        <w:left w:val="none" w:sz="0" w:space="0" w:color="auto"/>
        <w:bottom w:val="none" w:sz="0" w:space="0" w:color="auto"/>
        <w:right w:val="none" w:sz="0" w:space="0" w:color="auto"/>
      </w:divBdr>
      <w:divsChild>
        <w:div w:id="895821398">
          <w:marLeft w:val="0"/>
          <w:marRight w:val="0"/>
          <w:marTop w:val="0"/>
          <w:marBottom w:val="0"/>
          <w:divBdr>
            <w:top w:val="none" w:sz="0" w:space="0" w:color="auto"/>
            <w:left w:val="none" w:sz="0" w:space="0" w:color="auto"/>
            <w:bottom w:val="none" w:sz="0" w:space="0" w:color="auto"/>
            <w:right w:val="none" w:sz="0" w:space="0" w:color="auto"/>
          </w:divBdr>
          <w:divsChild>
            <w:div w:id="1558080214">
              <w:marLeft w:val="0"/>
              <w:marRight w:val="0"/>
              <w:marTop w:val="0"/>
              <w:marBottom w:val="0"/>
              <w:divBdr>
                <w:top w:val="none" w:sz="0" w:space="0" w:color="auto"/>
                <w:left w:val="none" w:sz="0" w:space="0" w:color="auto"/>
                <w:bottom w:val="none" w:sz="0" w:space="0" w:color="auto"/>
                <w:right w:val="none" w:sz="0" w:space="0" w:color="auto"/>
              </w:divBdr>
              <w:divsChild>
                <w:div w:id="1101218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3805416">
      <w:bodyDiv w:val="1"/>
      <w:marLeft w:val="0"/>
      <w:marRight w:val="0"/>
      <w:marTop w:val="0"/>
      <w:marBottom w:val="0"/>
      <w:divBdr>
        <w:top w:val="none" w:sz="0" w:space="0" w:color="auto"/>
        <w:left w:val="none" w:sz="0" w:space="0" w:color="auto"/>
        <w:bottom w:val="none" w:sz="0" w:space="0" w:color="auto"/>
        <w:right w:val="none" w:sz="0" w:space="0" w:color="auto"/>
      </w:divBdr>
    </w:div>
    <w:div w:id="1471560080">
      <w:bodyDiv w:val="1"/>
      <w:marLeft w:val="0"/>
      <w:marRight w:val="0"/>
      <w:marTop w:val="0"/>
      <w:marBottom w:val="0"/>
      <w:divBdr>
        <w:top w:val="none" w:sz="0" w:space="0" w:color="auto"/>
        <w:left w:val="none" w:sz="0" w:space="0" w:color="auto"/>
        <w:bottom w:val="none" w:sz="0" w:space="0" w:color="auto"/>
        <w:right w:val="none" w:sz="0" w:space="0" w:color="auto"/>
      </w:divBdr>
      <w:divsChild>
        <w:div w:id="1526821705">
          <w:marLeft w:val="0"/>
          <w:marRight w:val="0"/>
          <w:marTop w:val="0"/>
          <w:marBottom w:val="0"/>
          <w:divBdr>
            <w:top w:val="none" w:sz="0" w:space="0" w:color="auto"/>
            <w:left w:val="none" w:sz="0" w:space="0" w:color="auto"/>
            <w:bottom w:val="none" w:sz="0" w:space="0" w:color="auto"/>
            <w:right w:val="none" w:sz="0" w:space="0" w:color="auto"/>
          </w:divBdr>
          <w:divsChild>
            <w:div w:id="869728262">
              <w:marLeft w:val="0"/>
              <w:marRight w:val="0"/>
              <w:marTop w:val="0"/>
              <w:marBottom w:val="0"/>
              <w:divBdr>
                <w:top w:val="none" w:sz="0" w:space="0" w:color="auto"/>
                <w:left w:val="none" w:sz="0" w:space="0" w:color="auto"/>
                <w:bottom w:val="none" w:sz="0" w:space="0" w:color="auto"/>
                <w:right w:val="none" w:sz="0" w:space="0" w:color="auto"/>
              </w:divBdr>
              <w:divsChild>
                <w:div w:id="612709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237118">
      <w:bodyDiv w:val="1"/>
      <w:marLeft w:val="0"/>
      <w:marRight w:val="0"/>
      <w:marTop w:val="0"/>
      <w:marBottom w:val="0"/>
      <w:divBdr>
        <w:top w:val="none" w:sz="0" w:space="0" w:color="auto"/>
        <w:left w:val="none" w:sz="0" w:space="0" w:color="auto"/>
        <w:bottom w:val="none" w:sz="0" w:space="0" w:color="auto"/>
        <w:right w:val="none" w:sz="0" w:space="0" w:color="auto"/>
      </w:divBdr>
    </w:div>
    <w:div w:id="2130514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655</Words>
  <Characters>3740</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Carlotta Mazzitelli</dc:creator>
  <cp:keywords/>
  <dc:description/>
  <cp:lastModifiedBy>Carlotta Mazzitelli</cp:lastModifiedBy>
  <cp:revision>1</cp:revision>
  <dcterms:created xsi:type="dcterms:W3CDTF">2022-03-16T10:05:00Z</dcterms:created>
  <dcterms:modified xsi:type="dcterms:W3CDTF">2022-03-16T10:25:00Z</dcterms:modified>
</cp:coreProperties>
</file>