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EDF" w:rsidRPr="00856EDF" w:rsidRDefault="00856EDF" w:rsidP="00856EDF">
      <w:pPr>
        <w:pStyle w:val="Heading1"/>
        <w:rPr>
          <w:rFonts w:ascii="Times New Roman" w:eastAsia="Times New Roman" w:hAnsi="Times New Roman"/>
        </w:rPr>
      </w:pPr>
      <w:r w:rsidRPr="00856EDF">
        <w:rPr>
          <w:rFonts w:eastAsia="Times New Roman"/>
        </w:rPr>
        <w:t>Risk Identification and Assessment of an LNG regasification facility</w:t>
      </w:r>
    </w:p>
    <w:p w:rsidR="00151559" w:rsidRDefault="00151559"/>
    <w:p w:rsidR="00856EDF" w:rsidRDefault="00856EDF"/>
    <w:p w:rsidR="00856EDF" w:rsidRPr="00856EDF" w:rsidRDefault="00856EDF" w:rsidP="00856EDF">
      <w:pPr>
        <w:rPr>
          <w:rFonts w:ascii="Arial" w:hAnsi="Arial" w:cs="Arial"/>
        </w:rPr>
      </w:pPr>
      <w:r w:rsidRPr="00856EDF">
        <w:rPr>
          <w:rFonts w:ascii="Arial" w:hAnsi="Arial" w:cs="Arial"/>
        </w:rPr>
        <w:t xml:space="preserve">This </w:t>
      </w:r>
      <w:r w:rsidRPr="00856EDF">
        <w:rPr>
          <w:rFonts w:ascii="Arial" w:hAnsi="Arial" w:cs="Arial"/>
        </w:rPr>
        <w:t xml:space="preserve">paper </w:t>
      </w:r>
      <w:r w:rsidRPr="00856EDF">
        <w:rPr>
          <w:rFonts w:ascii="Arial" w:hAnsi="Arial" w:cs="Arial"/>
        </w:rPr>
        <w:t xml:space="preserve">describes </w:t>
      </w:r>
      <w:r w:rsidRPr="00856EDF">
        <w:rPr>
          <w:rFonts w:ascii="Arial" w:hAnsi="Arial" w:cs="Arial"/>
        </w:rPr>
        <w:t xml:space="preserve">a case study of the </w:t>
      </w:r>
      <w:r w:rsidRPr="00856EDF">
        <w:rPr>
          <w:rFonts w:ascii="Arial" w:hAnsi="Arial" w:cs="Arial"/>
        </w:rPr>
        <w:t xml:space="preserve">preparatory risk identification for an onshore LNG receiving terminal of approximately 10 </w:t>
      </w:r>
      <w:proofErr w:type="spellStart"/>
      <w:r w:rsidRPr="00856EDF">
        <w:rPr>
          <w:rFonts w:ascii="Arial" w:hAnsi="Arial" w:cs="Arial"/>
        </w:rPr>
        <w:t>mtpa</w:t>
      </w:r>
      <w:proofErr w:type="spellEnd"/>
      <w:r w:rsidRPr="00856EDF">
        <w:rPr>
          <w:rFonts w:ascii="Arial" w:hAnsi="Arial" w:cs="Arial"/>
        </w:rPr>
        <w:t>.</w:t>
      </w:r>
      <w:r w:rsidRPr="00856EDF">
        <w:rPr>
          <w:rFonts w:ascii="Arial" w:hAnsi="Arial" w:cs="Arial"/>
        </w:rPr>
        <w:t xml:space="preserve"> </w:t>
      </w:r>
      <w:r w:rsidRPr="00856EDF">
        <w:rPr>
          <w:rFonts w:ascii="Arial" w:hAnsi="Arial" w:cs="Arial"/>
        </w:rPr>
        <w:t>W</w:t>
      </w:r>
      <w:r w:rsidRPr="00856EDF">
        <w:rPr>
          <w:rFonts w:ascii="Arial" w:hAnsi="Arial" w:cs="Arial"/>
        </w:rPr>
        <w:t xml:space="preserve">e </w:t>
      </w:r>
      <w:r w:rsidRPr="00856EDF">
        <w:rPr>
          <w:rFonts w:ascii="Arial" w:hAnsi="Arial" w:cs="Arial"/>
        </w:rPr>
        <w:t xml:space="preserve">will </w:t>
      </w:r>
      <w:r w:rsidRPr="00856EDF">
        <w:rPr>
          <w:rFonts w:ascii="Arial" w:hAnsi="Arial" w:cs="Arial"/>
        </w:rPr>
        <w:t>describe the LNG regasification process, and the risk identification, assessment and management concepts described by</w:t>
      </w:r>
      <w:bookmarkStart w:id="0" w:name="_GoBack"/>
      <w:bookmarkEnd w:id="0"/>
      <w:r w:rsidRPr="00856EDF">
        <w:rPr>
          <w:rFonts w:ascii="Arial" w:hAnsi="Arial" w:cs="Arial"/>
        </w:rPr>
        <w:t xml:space="preserve"> the ISO 31000 international risk management standards.</w:t>
      </w:r>
    </w:p>
    <w:p w:rsidR="00856EDF" w:rsidRPr="00856EDF" w:rsidRDefault="00856EDF" w:rsidP="00856EDF">
      <w:pPr>
        <w:rPr>
          <w:rFonts w:ascii="Arial" w:hAnsi="Arial" w:cs="Arial"/>
        </w:rPr>
      </w:pPr>
      <w:r w:rsidRPr="00856EDF">
        <w:rPr>
          <w:rFonts w:ascii="Arial" w:hAnsi="Arial" w:cs="Arial"/>
        </w:rPr>
        <w:t>The example in the paper, which is based on a project in East Asia, will walk you through the identification of key uncertainties, including commercial, geopolitical, environmental, technical, and project risks – as well as the methodology used.</w:t>
      </w:r>
    </w:p>
    <w:p w:rsidR="00856EDF" w:rsidRPr="00856EDF" w:rsidRDefault="00856EDF" w:rsidP="00856EDF">
      <w:pPr>
        <w:rPr>
          <w:rFonts w:ascii="Arial" w:hAnsi="Arial" w:cs="Arial"/>
        </w:rPr>
      </w:pPr>
    </w:p>
    <w:p w:rsidR="00856EDF" w:rsidRPr="00856EDF" w:rsidRDefault="00856EDF" w:rsidP="00856EDF">
      <w:pPr>
        <w:rPr>
          <w:rFonts w:ascii="Arial" w:hAnsi="Arial" w:cs="Arial"/>
        </w:rPr>
      </w:pPr>
      <w:r w:rsidRPr="00856EDF">
        <w:rPr>
          <w:rFonts w:ascii="Arial" w:hAnsi="Arial" w:cs="Arial"/>
        </w:rPr>
        <w:t>We then describe the assessment and risk prioritisation workshops that were held, and the resulting outcomes.</w:t>
      </w:r>
    </w:p>
    <w:p w:rsidR="00856EDF" w:rsidRPr="00856EDF" w:rsidRDefault="00856EDF" w:rsidP="00856EDF">
      <w:pPr>
        <w:rPr>
          <w:rFonts w:ascii="Arial" w:hAnsi="Arial" w:cs="Arial"/>
        </w:rPr>
      </w:pPr>
    </w:p>
    <w:sectPr w:rsidR="00856EDF" w:rsidRPr="00856EDF" w:rsidSect="00AC60F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EDF"/>
    <w:rsid w:val="00151559"/>
    <w:rsid w:val="00287AC6"/>
    <w:rsid w:val="00856EDF"/>
    <w:rsid w:val="008D5336"/>
    <w:rsid w:val="00AC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36D7E"/>
  <w15:chartTrackingRefBased/>
  <w15:docId w15:val="{8D7412A6-22C5-6B44-A551-3E53A469C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E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7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Cockcroft</dc:creator>
  <cp:keywords/>
  <dc:description/>
  <cp:lastModifiedBy>Peter Cockcroft</cp:lastModifiedBy>
  <cp:revision>1</cp:revision>
  <dcterms:created xsi:type="dcterms:W3CDTF">2019-04-24T11:08:00Z</dcterms:created>
  <dcterms:modified xsi:type="dcterms:W3CDTF">2019-04-24T11:12:00Z</dcterms:modified>
</cp:coreProperties>
</file>