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561" w:rsidRDefault="00C35561" w:rsidP="00C35561">
      <w:pPr>
        <w:spacing w:line="240" w:lineRule="auto"/>
        <w:rPr>
          <w:rFonts w:ascii="Calibri Light" w:hAnsi="Calibri Light" w:cs="Calibri Light"/>
          <w:sz w:val="24"/>
          <w:szCs w:val="24"/>
        </w:rPr>
      </w:pPr>
      <w:r>
        <w:rPr>
          <w:rFonts w:ascii="Calibri Light" w:hAnsi="Calibri Light" w:cs="Calibri Light"/>
          <w:b/>
          <w:bCs/>
          <w:sz w:val="32"/>
          <w:szCs w:val="32"/>
        </w:rPr>
        <w:t>Improving the predictive accuracy for pre-eclampsia by combining clinical risk factors with biochemical indicators.</w:t>
      </w:r>
    </w:p>
    <w:p w:rsidR="00C35561" w:rsidRDefault="00C35561" w:rsidP="00C35561">
      <w:pPr>
        <w:spacing w:line="240" w:lineRule="auto"/>
        <w:ind w:leftChars="-100" w:left="-200" w:firstLineChars="125" w:firstLine="300"/>
        <w:rPr>
          <w:rFonts w:ascii="Calibri Light" w:hAnsi="Calibri Light" w:cs="Calibri Light"/>
          <w:sz w:val="24"/>
          <w:szCs w:val="24"/>
        </w:rPr>
      </w:pPr>
    </w:p>
    <w:p w:rsidR="00C35561" w:rsidRDefault="00C35561" w:rsidP="00C35561">
      <w:pPr>
        <w:spacing w:line="240" w:lineRule="auto"/>
        <w:ind w:leftChars="-100" w:left="-200" w:firstLineChars="125" w:firstLine="402"/>
        <w:jc w:val="both"/>
        <w:rPr>
          <w:rFonts w:ascii="Calibri Light" w:hAnsi="Calibri Light" w:cs="Calibri Light"/>
          <w:b/>
          <w:bCs/>
          <w:color w:val="0000FF"/>
          <w:sz w:val="32"/>
          <w:szCs w:val="32"/>
        </w:rPr>
      </w:pPr>
      <w:r>
        <w:rPr>
          <w:rFonts w:ascii="Calibri Light" w:hAnsi="Calibri Light" w:cs="Calibri Light"/>
          <w:b/>
          <w:bCs/>
          <w:color w:val="0000FF"/>
          <w:sz w:val="32"/>
          <w:szCs w:val="32"/>
        </w:rPr>
        <w:t>Abstract</w:t>
      </w:r>
      <w:bookmarkStart w:id="0" w:name="_GoBack"/>
      <w:bookmarkEnd w:id="0"/>
    </w:p>
    <w:p w:rsidR="00C35561" w:rsidRDefault="00C35561" w:rsidP="00C35561">
      <w:pPr>
        <w:spacing w:line="240" w:lineRule="auto"/>
        <w:ind w:leftChars="-100" w:left="-200" w:firstLineChars="125" w:firstLine="300"/>
        <w:jc w:val="both"/>
        <w:rPr>
          <w:rFonts w:ascii="Calibri Light" w:hAnsi="Calibri Light" w:cs="Calibri Light"/>
          <w:sz w:val="24"/>
          <w:szCs w:val="24"/>
        </w:rPr>
      </w:pPr>
    </w:p>
    <w:p w:rsidR="00C35561" w:rsidRDefault="00C35561" w:rsidP="00C35561">
      <w:pPr>
        <w:spacing w:line="240" w:lineRule="auto"/>
        <w:ind w:leftChars="-100" w:left="-200" w:firstLineChars="125" w:firstLine="301"/>
        <w:jc w:val="both"/>
        <w:rPr>
          <w:rFonts w:ascii="Calibri Light" w:hAnsi="Calibri Light" w:cs="Calibri Light"/>
          <w:sz w:val="24"/>
          <w:szCs w:val="24"/>
        </w:rPr>
      </w:pPr>
      <w:r>
        <w:rPr>
          <w:rFonts w:ascii="Calibri Light" w:hAnsi="Calibri Light" w:cs="Calibri Light"/>
          <w:b/>
          <w:bCs/>
          <w:sz w:val="24"/>
          <w:szCs w:val="24"/>
        </w:rPr>
        <w:t>Objective:</w:t>
      </w:r>
      <w:r>
        <w:rPr>
          <w:rFonts w:ascii="Calibri Light" w:hAnsi="Calibri Light" w:cs="Calibri Light"/>
          <w:sz w:val="24"/>
          <w:szCs w:val="24"/>
        </w:rPr>
        <w:t xml:space="preserve"> To determine whether previously identified risk factors are associated with development of severe form of pre-eclampsia in a heterogenous cohort of women, and the predictive values of this risk factors when combined with certain biochemical indicators.</w:t>
      </w:r>
    </w:p>
    <w:p w:rsidR="00C35561" w:rsidRDefault="00C35561" w:rsidP="00C35561">
      <w:pPr>
        <w:spacing w:line="240" w:lineRule="auto"/>
        <w:ind w:leftChars="-100" w:left="-200" w:firstLineChars="125" w:firstLine="300"/>
        <w:jc w:val="both"/>
        <w:rPr>
          <w:rFonts w:ascii="Calibri Light" w:hAnsi="Calibri Light" w:cs="Calibri Light"/>
          <w:sz w:val="24"/>
          <w:szCs w:val="24"/>
        </w:rPr>
      </w:pPr>
    </w:p>
    <w:p w:rsidR="00C35561" w:rsidRDefault="00C35561" w:rsidP="00C35561">
      <w:pPr>
        <w:spacing w:line="240" w:lineRule="auto"/>
        <w:ind w:leftChars="-100" w:left="-200" w:firstLineChars="125" w:firstLine="301"/>
        <w:jc w:val="both"/>
        <w:rPr>
          <w:rFonts w:ascii="Calibri Light" w:hAnsi="Calibri Light" w:cs="Calibri Light"/>
          <w:sz w:val="24"/>
          <w:szCs w:val="24"/>
        </w:rPr>
      </w:pPr>
      <w:r>
        <w:rPr>
          <w:rFonts w:ascii="Calibri Light" w:hAnsi="Calibri Light" w:cs="Calibri Light"/>
          <w:b/>
          <w:bCs/>
          <w:sz w:val="24"/>
          <w:szCs w:val="24"/>
        </w:rPr>
        <w:t>Study design:</w:t>
      </w:r>
      <w:r>
        <w:rPr>
          <w:rFonts w:ascii="Calibri Light" w:hAnsi="Calibri Light" w:cs="Calibri Light"/>
          <w:sz w:val="24"/>
          <w:szCs w:val="24"/>
        </w:rPr>
        <w:t xml:space="preserve">  </w:t>
      </w:r>
      <w:r>
        <w:rPr>
          <w:rFonts w:ascii="Calibri Light" w:hAnsi="Calibri Light" w:cs="Calibri Light"/>
          <w:sz w:val="24"/>
          <w:szCs w:val="24"/>
          <w:lang w:val="en-GB"/>
        </w:rPr>
        <w:t>Systematic</w:t>
      </w:r>
      <w:r>
        <w:rPr>
          <w:rFonts w:ascii="Calibri Light" w:hAnsi="Calibri Light" w:cs="Calibri Light"/>
          <w:sz w:val="24"/>
          <w:szCs w:val="24"/>
          <w:lang w:val="en-GB"/>
        </w:rPr>
        <w:t xml:space="preserve"> review of data collected for a doctoral case control study plus e</w:t>
      </w:r>
      <w:r>
        <w:rPr>
          <w:rFonts w:ascii="Calibri Light" w:hAnsi="Calibri Light" w:cs="Calibri Light"/>
          <w:sz w:val="24"/>
          <w:szCs w:val="24"/>
        </w:rPr>
        <w:t>examination</w:t>
      </w:r>
      <w:r>
        <w:rPr>
          <w:rFonts w:ascii="Calibri Light" w:hAnsi="Calibri Light" w:cs="Calibri Light"/>
          <w:sz w:val="24"/>
          <w:szCs w:val="24"/>
        </w:rPr>
        <w:t xml:space="preserve"> of the indicators of preeclampsia and maternal IL10 levels</w:t>
      </w:r>
      <w:r>
        <w:rPr>
          <w:rFonts w:ascii="Calibri Light" w:hAnsi="Calibri Light" w:cs="Calibri Light"/>
          <w:sz w:val="24"/>
          <w:szCs w:val="24"/>
          <w:lang w:val="en-GB"/>
        </w:rPr>
        <w:t>. This examination</w:t>
      </w:r>
      <w:r>
        <w:rPr>
          <w:rFonts w:ascii="Calibri Light" w:hAnsi="Calibri Light" w:cs="Calibri Light"/>
          <w:sz w:val="24"/>
          <w:szCs w:val="24"/>
        </w:rPr>
        <w:t xml:space="preserve"> was conducted in 100 women with pregnancies complicated by varying degrees of preeclampsia and in 80 normotensive patients, hospitalized at the University Clinic of Gynecology and Obstetrics, Skopje, Republic of Macedonia. Patients with preeclampsia were categorized into moderate (m PE) and severe (s PE) preeclampsia group according to the degree of preeclampsia. The severity of preeclampsia was determined according to the definition of the World Health Organization,</w:t>
      </w:r>
      <w:r>
        <w:rPr>
          <w:rFonts w:ascii="Calibri Light" w:hAnsi="Calibri Light" w:cs="Calibri Light"/>
          <w:i/>
          <w:iCs/>
          <w:sz w:val="18"/>
          <w:szCs w:val="18"/>
          <w:lang w:eastAsia="mk-MK"/>
        </w:rPr>
        <w:t xml:space="preserve"> </w:t>
      </w:r>
      <w:r>
        <w:rPr>
          <w:rFonts w:ascii="Calibri Light" w:hAnsi="Calibri Light" w:cs="Calibri Light"/>
          <w:iCs/>
          <w:sz w:val="24"/>
          <w:szCs w:val="24"/>
          <w:lang w:eastAsia="mk-MK"/>
        </w:rPr>
        <w:t>Handbook for guideline development from</w:t>
      </w:r>
      <w:r>
        <w:rPr>
          <w:rFonts w:ascii="Calibri Light" w:hAnsi="Calibri Light" w:cs="Calibri Light"/>
          <w:sz w:val="24"/>
          <w:szCs w:val="24"/>
          <w:lang w:eastAsia="mk-MK"/>
        </w:rPr>
        <w:t xml:space="preserve"> 2010</w:t>
      </w:r>
      <w:r>
        <w:rPr>
          <w:rFonts w:ascii="Calibri Light" w:hAnsi="Calibri Light" w:cs="Calibri Light"/>
          <w:sz w:val="18"/>
          <w:szCs w:val="18"/>
          <w:lang w:eastAsia="mk-MK"/>
        </w:rPr>
        <w:t>.</w:t>
      </w:r>
      <w:r>
        <w:rPr>
          <w:rFonts w:ascii="Calibri Light" w:hAnsi="Calibri Light" w:cs="Calibri Light"/>
          <w:sz w:val="24"/>
          <w:szCs w:val="24"/>
        </w:rPr>
        <w:t xml:space="preserve">  </w:t>
      </w:r>
    </w:p>
    <w:p w:rsidR="00C35561" w:rsidRDefault="00C35561" w:rsidP="00C35561">
      <w:pPr>
        <w:spacing w:line="240" w:lineRule="auto"/>
        <w:ind w:leftChars="-100" w:left="-200" w:firstLineChars="125" w:firstLine="300"/>
        <w:rPr>
          <w:rFonts w:ascii="Calibri Light" w:hAnsi="Calibri Light" w:cs="Calibri Light"/>
          <w:sz w:val="24"/>
          <w:szCs w:val="24"/>
        </w:rPr>
      </w:pPr>
    </w:p>
    <w:p w:rsidR="00C35561" w:rsidRDefault="00C35561" w:rsidP="00C35561">
      <w:pPr>
        <w:spacing w:line="240" w:lineRule="auto"/>
        <w:ind w:leftChars="-100" w:left="-200" w:firstLineChars="125" w:firstLine="301"/>
        <w:jc w:val="both"/>
        <w:rPr>
          <w:rFonts w:ascii="Calibri Light" w:hAnsi="Calibri Light" w:cs="Calibri Light"/>
          <w:sz w:val="24"/>
          <w:szCs w:val="24"/>
        </w:rPr>
      </w:pPr>
      <w:r>
        <w:rPr>
          <w:rFonts w:ascii="Calibri Light" w:hAnsi="Calibri Light" w:cs="Calibri Light"/>
          <w:b/>
          <w:bCs/>
          <w:sz w:val="24"/>
          <w:szCs w:val="24"/>
        </w:rPr>
        <w:t xml:space="preserve">Results: </w:t>
      </w:r>
      <w:r>
        <w:rPr>
          <w:rFonts w:ascii="Calibri Light" w:hAnsi="Calibri Light" w:cs="Calibri Light"/>
          <w:sz w:val="24"/>
          <w:szCs w:val="24"/>
        </w:rPr>
        <w:t xml:space="preserve">The regression analysis applied in this study showed that elevated systolic blood pressure of 160 mmHg or higher, diastolic blood pressure of 100 mmHg or higher, pregnancy at older age, </w:t>
      </w:r>
      <w:r>
        <w:rPr>
          <w:rFonts w:ascii="Calibri Light" w:hAnsi="Calibri Light" w:cs="Calibri Light"/>
          <w:sz w:val="24"/>
          <w:szCs w:val="24"/>
        </w:rPr>
        <w:t>nulliparity</w:t>
      </w:r>
      <w:r>
        <w:rPr>
          <w:rFonts w:ascii="Calibri Light" w:hAnsi="Calibri Light" w:cs="Calibri Light"/>
          <w:sz w:val="24"/>
          <w:szCs w:val="24"/>
        </w:rPr>
        <w:t xml:space="preserve">, persistent proteinuria in pregnancy, the serum LDH concentration of 450 </w:t>
      </w:r>
      <w:r>
        <w:rPr>
          <w:rFonts w:ascii="Calibri Light" w:hAnsi="Calibri Light" w:cs="Calibri Light"/>
          <w:sz w:val="24"/>
          <w:szCs w:val="24"/>
          <w:lang w:eastAsia="en-GB"/>
        </w:rPr>
        <w:t>U/L</w:t>
      </w:r>
      <w:r>
        <w:rPr>
          <w:rFonts w:ascii="Calibri Light" w:hAnsi="Calibri Light" w:cs="Calibri Light"/>
          <w:b/>
          <w:sz w:val="24"/>
          <w:szCs w:val="24"/>
          <w:lang w:eastAsia="en-GB"/>
        </w:rPr>
        <w:t xml:space="preserve"> </w:t>
      </w:r>
      <w:r>
        <w:rPr>
          <w:rFonts w:ascii="Calibri Light" w:hAnsi="Calibri Light" w:cs="Calibri Light"/>
          <w:sz w:val="24"/>
          <w:szCs w:val="24"/>
        </w:rPr>
        <w:t>or higher and reduced serum concentrations of IL10 as significant predictors of severe preeclampsia in pregnant women. While other variables predicted higher likelihood for the development of severe preeclampsia, IL10 decreased such likelihood. IL10 was also found to be negatively correlated with proteinuria, and positively correlated with blood platelets. Significantly higher concentration of IL10 was confirmed in patients with higher number of platelets in the blood, and vice versa. On the other hand, the serum concentration of IL10 was significantly lower in patients with higher amount of proteins in the urine, and vice versa.</w:t>
      </w:r>
    </w:p>
    <w:p w:rsidR="00C35561" w:rsidRDefault="00C35561" w:rsidP="00C35561">
      <w:pPr>
        <w:spacing w:line="240" w:lineRule="auto"/>
        <w:ind w:leftChars="-100" w:left="-200" w:firstLineChars="125" w:firstLine="300"/>
        <w:jc w:val="both"/>
        <w:rPr>
          <w:rFonts w:ascii="Calibri Light" w:hAnsi="Calibri Light" w:cs="Calibri Light"/>
          <w:sz w:val="24"/>
          <w:szCs w:val="24"/>
        </w:rPr>
      </w:pPr>
    </w:p>
    <w:p w:rsidR="00C35561" w:rsidRDefault="00C35561" w:rsidP="00C35561">
      <w:pPr>
        <w:spacing w:line="240" w:lineRule="auto"/>
        <w:ind w:leftChars="-100" w:left="-200" w:firstLineChars="125" w:firstLine="301"/>
        <w:jc w:val="both"/>
        <w:rPr>
          <w:rFonts w:ascii="Calibri Light" w:hAnsi="Calibri Light" w:cs="Calibri Light"/>
          <w:sz w:val="24"/>
          <w:szCs w:val="24"/>
          <w:lang w:val="en-GB"/>
        </w:rPr>
      </w:pPr>
      <w:r>
        <w:rPr>
          <w:rFonts w:ascii="Calibri Light" w:hAnsi="Calibri Light" w:cs="Calibri Light"/>
          <w:b/>
          <w:bCs/>
          <w:sz w:val="24"/>
          <w:szCs w:val="24"/>
        </w:rPr>
        <w:t xml:space="preserve">Conclusions: </w:t>
      </w:r>
      <w:r>
        <w:rPr>
          <w:rFonts w:ascii="Calibri Light" w:hAnsi="Calibri Light" w:cs="Calibri Light"/>
          <w:sz w:val="24"/>
          <w:szCs w:val="24"/>
          <w:lang w:val="en-GB"/>
        </w:rPr>
        <w:t>Examination of clinical risk fa</w:t>
      </w:r>
      <w:r>
        <w:rPr>
          <w:rFonts w:ascii="Calibri Light" w:hAnsi="Calibri Light" w:cs="Calibri Light"/>
          <w:sz w:val="24"/>
          <w:szCs w:val="24"/>
          <w:lang w:val="en-GB"/>
        </w:rPr>
        <w:t>c</w:t>
      </w:r>
      <w:r>
        <w:rPr>
          <w:rFonts w:ascii="Calibri Light" w:hAnsi="Calibri Light" w:cs="Calibri Light"/>
          <w:sz w:val="24"/>
          <w:szCs w:val="24"/>
          <w:lang w:val="en-GB"/>
        </w:rPr>
        <w:t>tor</w:t>
      </w:r>
      <w:r>
        <w:rPr>
          <w:rFonts w:ascii="Calibri Light" w:hAnsi="Calibri Light" w:cs="Calibri Light"/>
          <w:sz w:val="24"/>
          <w:szCs w:val="24"/>
          <w:lang w:val="en-GB"/>
        </w:rPr>
        <w:t xml:space="preserve"> </w:t>
      </w:r>
      <w:r>
        <w:rPr>
          <w:rFonts w:ascii="Calibri Light" w:hAnsi="Calibri Light" w:cs="Calibri Light"/>
          <w:sz w:val="24"/>
          <w:szCs w:val="24"/>
          <w:lang w:val="en-GB"/>
        </w:rPr>
        <w:t xml:space="preserve">combined with biochemical markers can improve the predictive success of pre-eclampsia and has </w:t>
      </w:r>
      <w:r>
        <w:rPr>
          <w:rFonts w:ascii="Calibri Light" w:hAnsi="Calibri Light" w:cs="Calibri Light"/>
          <w:sz w:val="24"/>
          <w:szCs w:val="24"/>
          <w:lang w:val="en-GB"/>
        </w:rPr>
        <w:t>important</w:t>
      </w:r>
      <w:r>
        <w:rPr>
          <w:rFonts w:ascii="Calibri Light" w:hAnsi="Calibri Light" w:cs="Calibri Light"/>
          <w:sz w:val="24"/>
          <w:szCs w:val="24"/>
          <w:lang w:val="en-GB"/>
        </w:rPr>
        <w:t xml:space="preserve"> clinical values in improving the prognosis of </w:t>
      </w:r>
      <w:r>
        <w:rPr>
          <w:rFonts w:ascii="Calibri Light" w:hAnsi="Calibri Light" w:cs="Calibri Light"/>
          <w:sz w:val="24"/>
          <w:szCs w:val="24"/>
          <w:lang w:val="en-GB"/>
        </w:rPr>
        <w:t>pregnant</w:t>
      </w:r>
      <w:r>
        <w:rPr>
          <w:rFonts w:ascii="Calibri Light" w:hAnsi="Calibri Light" w:cs="Calibri Light"/>
          <w:sz w:val="24"/>
          <w:szCs w:val="24"/>
          <w:lang w:val="en-GB"/>
        </w:rPr>
        <w:t xml:space="preserve"> women and </w:t>
      </w:r>
      <w:r>
        <w:rPr>
          <w:rFonts w:ascii="Calibri Light" w:hAnsi="Calibri Light" w:cs="Calibri Light"/>
          <w:sz w:val="24"/>
          <w:szCs w:val="24"/>
          <w:lang w:val="en-GB"/>
        </w:rPr>
        <w:t>foetuses</w:t>
      </w:r>
      <w:r>
        <w:rPr>
          <w:rFonts w:ascii="Calibri Light" w:hAnsi="Calibri Light" w:cs="Calibri Light"/>
          <w:sz w:val="24"/>
          <w:szCs w:val="24"/>
          <w:lang w:val="en-GB"/>
        </w:rPr>
        <w:t>.</w:t>
      </w:r>
    </w:p>
    <w:p w:rsidR="000354B6" w:rsidRDefault="000354B6"/>
    <w:sectPr w:rsidR="000354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61"/>
    <w:rsid w:val="000354B6"/>
    <w:rsid w:val="00C35561"/>
    <w:rsid w:val="00C72AC6"/>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7D9D9"/>
  <w15:chartTrackingRefBased/>
  <w15:docId w15:val="{3DA2B5D7-3C68-4CA9-97BA-3E5819BE1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5561"/>
    <w:rPr>
      <w:rFonts w:eastAsiaTheme="minorEastAsia"/>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Daneva-Markova</dc:creator>
  <cp:keywords/>
  <dc:description/>
  <cp:lastModifiedBy>Ana Daneva-Markova</cp:lastModifiedBy>
  <cp:revision>1</cp:revision>
  <dcterms:created xsi:type="dcterms:W3CDTF">2019-01-16T13:07:00Z</dcterms:created>
  <dcterms:modified xsi:type="dcterms:W3CDTF">2019-01-16T13:09:00Z</dcterms:modified>
</cp:coreProperties>
</file>