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457" w:rsidRPr="00023457" w:rsidRDefault="00023457" w:rsidP="00023457">
      <w:pPr>
        <w:pStyle w:val="Heading1"/>
        <w:spacing w:before="170"/>
        <w:rPr>
          <w:color w:val="337AB7"/>
        </w:rPr>
      </w:pPr>
      <w:r w:rsidRPr="00023457">
        <w:rPr>
          <w:color w:val="337AB7"/>
        </w:rPr>
        <w:t xml:space="preserve">Comparison of the efficacy of iron amino acid chelate and ferrous sulfate in the treatment of iron deficiency anemia among pregnant women seen at the out-patient department of a tertiary medical center </w:t>
      </w:r>
    </w:p>
    <w:p w:rsidR="00023457" w:rsidRPr="00023457" w:rsidRDefault="00023457" w:rsidP="00023457">
      <w:pPr>
        <w:pStyle w:val="BodyText"/>
        <w:spacing w:before="73" w:line="198" w:lineRule="exact"/>
        <w:ind w:left="100" w:right="5987"/>
        <w:rPr>
          <w:rFonts w:ascii="Arial"/>
          <w:bCs/>
          <w:sz w:val="16"/>
          <w:szCs w:val="16"/>
        </w:rPr>
      </w:pPr>
      <w:proofErr w:type="gramStart"/>
      <w:r w:rsidRPr="00023457">
        <w:rPr>
          <w:rFonts w:ascii="Arial"/>
          <w:bCs/>
          <w:sz w:val="16"/>
          <w:szCs w:val="16"/>
        </w:rPr>
        <w:t>Ma.</w:t>
      </w:r>
      <w:proofErr w:type="gramEnd"/>
      <w:r w:rsidRPr="00023457">
        <w:rPr>
          <w:rFonts w:ascii="Arial"/>
          <w:bCs/>
          <w:sz w:val="16"/>
          <w:szCs w:val="16"/>
        </w:rPr>
        <w:t xml:space="preserve"> Agnes A. Santiago, MD,</w:t>
      </w:r>
      <w:r>
        <w:rPr>
          <w:rFonts w:ascii="Arial"/>
          <w:bCs/>
          <w:sz w:val="16"/>
          <w:szCs w:val="16"/>
        </w:rPr>
        <w:t xml:space="preserve"> </w:t>
      </w:r>
      <w:r w:rsidRPr="00023457">
        <w:rPr>
          <w:rFonts w:ascii="Arial"/>
          <w:bCs/>
          <w:sz w:val="16"/>
          <w:szCs w:val="16"/>
        </w:rPr>
        <w:t>RMT, FEU-NRMF,</w:t>
      </w:r>
      <w:r>
        <w:rPr>
          <w:rFonts w:ascii="Arial"/>
          <w:bCs/>
          <w:sz w:val="16"/>
          <w:szCs w:val="16"/>
        </w:rPr>
        <w:t xml:space="preserve"> </w:t>
      </w:r>
      <w:r w:rsidRPr="00023457">
        <w:rPr>
          <w:rFonts w:ascii="Arial"/>
          <w:bCs/>
          <w:sz w:val="16"/>
          <w:szCs w:val="16"/>
        </w:rPr>
        <w:t>Philippines</w:t>
      </w:r>
    </w:p>
    <w:p w:rsidR="00023457" w:rsidRPr="00023457" w:rsidRDefault="00023457" w:rsidP="00023457">
      <w:pPr>
        <w:pStyle w:val="BodyText"/>
        <w:spacing w:before="73" w:line="198" w:lineRule="exact"/>
        <w:ind w:left="100" w:right="5987"/>
        <w:rPr>
          <w:rFonts w:ascii="Arial"/>
          <w:bCs/>
          <w:sz w:val="16"/>
          <w:szCs w:val="16"/>
        </w:rPr>
      </w:pPr>
      <w:proofErr w:type="spellStart"/>
      <w:r w:rsidRPr="00023457">
        <w:rPr>
          <w:rFonts w:ascii="Arial"/>
          <w:sz w:val="16"/>
          <w:szCs w:val="16"/>
          <w:lang w:val="en-PH"/>
        </w:rPr>
        <w:t>Lylah</w:t>
      </w:r>
      <w:proofErr w:type="spellEnd"/>
      <w:r w:rsidRPr="00023457">
        <w:rPr>
          <w:rFonts w:ascii="Arial"/>
          <w:sz w:val="16"/>
          <w:szCs w:val="16"/>
          <w:lang w:val="en-PH"/>
        </w:rPr>
        <w:t xml:space="preserve"> D. Reyes, MD, FPOGS, MSc, </w:t>
      </w:r>
      <w:r w:rsidRPr="00023457">
        <w:rPr>
          <w:rFonts w:ascii="Arial"/>
          <w:bCs/>
          <w:sz w:val="16"/>
          <w:szCs w:val="16"/>
        </w:rPr>
        <w:t>FEU-NRMF, Philippines</w:t>
      </w:r>
    </w:p>
    <w:p w:rsidR="00023457" w:rsidRDefault="00023457" w:rsidP="005439EC">
      <w:pPr>
        <w:pStyle w:val="BodyText"/>
        <w:spacing w:before="73" w:line="198" w:lineRule="exact"/>
        <w:ind w:left="100" w:right="5987"/>
        <w:rPr>
          <w:rFonts w:ascii="Arial"/>
        </w:rPr>
      </w:pPr>
      <w:r w:rsidRPr="00023457">
        <w:rPr>
          <w:rFonts w:ascii="Arial"/>
          <w:sz w:val="16"/>
          <w:szCs w:val="16"/>
        </w:rPr>
        <w:t xml:space="preserve">Joseph U. </w:t>
      </w:r>
      <w:proofErr w:type="spellStart"/>
      <w:r w:rsidRPr="00023457">
        <w:rPr>
          <w:rFonts w:ascii="Arial"/>
          <w:sz w:val="16"/>
          <w:szCs w:val="16"/>
        </w:rPr>
        <w:t>Olivar</w:t>
      </w:r>
      <w:proofErr w:type="spellEnd"/>
      <w:r w:rsidRPr="00023457">
        <w:rPr>
          <w:rFonts w:ascii="Arial"/>
          <w:sz w:val="16"/>
          <w:szCs w:val="16"/>
        </w:rPr>
        <w:t xml:space="preserve">, MD, FPOGS, FPSMFM, </w:t>
      </w:r>
      <w:r w:rsidRPr="00023457">
        <w:rPr>
          <w:rFonts w:ascii="Arial"/>
          <w:bCs/>
          <w:sz w:val="14"/>
          <w:szCs w:val="14"/>
        </w:rPr>
        <w:t>FEU-NRMF, Philippines</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Default="00A9710C" w:rsidP="00195AC0">
      <w:pPr>
        <w:pStyle w:val="Heading3"/>
        <w:spacing w:before="147"/>
        <w:jc w:val="both"/>
      </w:pPr>
      <w:r>
        <w:rPr>
          <w:color w:val="BF5A14"/>
        </w:rPr>
        <w:lastRenderedPageBreak/>
        <w:t>Abstract</w:t>
      </w:r>
      <w:r w:rsidR="00404E5B">
        <w:rPr>
          <w:color w:val="BF5A14"/>
        </w:rPr>
        <w:t xml:space="preserve"> </w:t>
      </w:r>
    </w:p>
    <w:p w:rsidR="00023457" w:rsidRPr="00023457" w:rsidRDefault="00A9710C" w:rsidP="00023457">
      <w:pPr>
        <w:pStyle w:val="BodyText"/>
        <w:spacing w:before="90" w:line="280" w:lineRule="auto"/>
        <w:ind w:left="100"/>
        <w:rPr>
          <w:b/>
        </w:rPr>
      </w:pPr>
      <w:r>
        <w:t xml:space="preserve">Statement of the Problem: </w:t>
      </w:r>
      <w:r w:rsidR="00023457" w:rsidRPr="00023457">
        <w:rPr>
          <w:bCs/>
        </w:rPr>
        <w:t xml:space="preserve">Pregnant women with </w:t>
      </w:r>
      <w:r w:rsidR="00023457" w:rsidRPr="00023457">
        <w:t>iron deficiency anemia (IDA)</w:t>
      </w:r>
      <w:r w:rsidR="00023457" w:rsidRPr="00023457">
        <w:rPr>
          <w:bCs/>
        </w:rPr>
        <w:t xml:space="preserve"> </w:t>
      </w:r>
      <w:r w:rsidR="00023457" w:rsidRPr="00023457">
        <w:t xml:space="preserve">need effective management to prevent adverse pregnancy outcomes.  </w:t>
      </w:r>
      <w:r w:rsidR="00023457" w:rsidRPr="00023457">
        <w:rPr>
          <w:bCs/>
        </w:rPr>
        <w:t xml:space="preserve">Ferrous salts are the preparation of choice, </w:t>
      </w:r>
      <w:r w:rsidR="00023457" w:rsidRPr="00023457">
        <w:t xml:space="preserve">recommended for prevention and treatment of IDA. Oral iron supplementation is challenged </w:t>
      </w:r>
      <w:r w:rsidR="00023457">
        <w:t xml:space="preserve">by gastrointestinal </w:t>
      </w:r>
      <w:r w:rsidR="00023457" w:rsidRPr="00023457">
        <w:t xml:space="preserve">poor gastrointestinal </w:t>
      </w:r>
      <w:r w:rsidR="00023457">
        <w:t xml:space="preserve">and </w:t>
      </w:r>
      <w:r w:rsidR="00023457" w:rsidRPr="00023457">
        <w:t>disturbances. Improving formulation was done by many companies using chelated minerals. Mineral absorption from supplements has been a contested issue in the supplement industry. Validating these claims has often been difficult due to insufficient or conflicting research. This study aims to address the controversy and establish the state of scientific knowledge about mineral absorption from supplements. This will compare the efficacy of iron amino acid chelate and ferrous sulfate in the treatment of IDA during pregnancy.</w:t>
      </w:r>
    </w:p>
    <w:p w:rsidR="00023457" w:rsidRPr="00023457" w:rsidRDefault="00023457" w:rsidP="00023457">
      <w:pPr>
        <w:pStyle w:val="BodyText"/>
        <w:spacing w:before="90" w:line="280" w:lineRule="auto"/>
        <w:ind w:left="100"/>
      </w:pPr>
      <w:r w:rsidRPr="00023457">
        <w:rPr>
          <w:bCs/>
          <w:iCs/>
        </w:rPr>
        <w:t>Methodology:</w:t>
      </w:r>
      <w:r w:rsidRPr="00023457">
        <w:rPr>
          <w:b/>
        </w:rPr>
        <w:t xml:space="preserve"> I</w:t>
      </w:r>
      <w:r w:rsidRPr="00023457">
        <w:t xml:space="preserve">ncluded were women 18 to 40 years old, singleton pregnancies diagnosed with IDA without any </w:t>
      </w:r>
      <w:r w:rsidRPr="00023457">
        <w:rPr>
          <w:bCs/>
        </w:rPr>
        <w:t xml:space="preserve">co-existing fetal and </w:t>
      </w:r>
      <w:r w:rsidRPr="00023457">
        <w:t>maternal complications</w:t>
      </w:r>
      <w:r w:rsidRPr="00023457">
        <w:rPr>
          <w:bCs/>
        </w:rPr>
        <w:t xml:space="preserve">. Participants were </w:t>
      </w:r>
      <w:r w:rsidRPr="00023457">
        <w:t>randomly allocated to Iron Amino Acid Chelate and Ferrous Sulfate taken twice a day for 90 days. Baseline, days 30, 60 and 90 post-treatment complete blood count and</w:t>
      </w:r>
      <w:r w:rsidRPr="00023457">
        <w:rPr>
          <w:bCs/>
        </w:rPr>
        <w:t xml:space="preserve"> serum ferritin levels </w:t>
      </w:r>
      <w:r w:rsidRPr="00023457">
        <w:t>were taken. Mean blood parameters</w:t>
      </w:r>
      <w:r w:rsidRPr="00023457">
        <w:rPr>
          <w:bCs/>
        </w:rPr>
        <w:t xml:space="preserve"> </w:t>
      </w:r>
      <w:r w:rsidRPr="00023457">
        <w:t xml:space="preserve">were compared before and after treatment using T-test and Chi-square </w:t>
      </w:r>
      <w:r>
        <w:t>to</w:t>
      </w:r>
      <w:r w:rsidRPr="00023457">
        <w:t xml:space="preserve"> compar</w:t>
      </w:r>
      <w:r>
        <w:t>e</w:t>
      </w:r>
      <w:r w:rsidRPr="00023457">
        <w:t xml:space="preserve"> adverse effects between two groups. </w:t>
      </w:r>
    </w:p>
    <w:p w:rsidR="00023457" w:rsidRPr="00023457" w:rsidRDefault="00023457" w:rsidP="00023457">
      <w:pPr>
        <w:pStyle w:val="BodyText"/>
        <w:spacing w:before="90" w:line="280" w:lineRule="auto"/>
        <w:ind w:left="100"/>
      </w:pPr>
      <w:r w:rsidRPr="00023457">
        <w:t>Results:</w:t>
      </w:r>
      <w:r w:rsidRPr="00023457">
        <w:rPr>
          <w:b/>
          <w:bCs/>
          <w:i/>
          <w:iCs/>
        </w:rPr>
        <w:t xml:space="preserve"> </w:t>
      </w:r>
      <w:r w:rsidRPr="00023457">
        <w:t xml:space="preserve">No statistically significant differences in the mean blood parameters between iron amino acid chelate and ferrous sulfate on days 30 and 60 </w:t>
      </w:r>
      <w:r>
        <w:t>post-</w:t>
      </w:r>
      <w:r w:rsidRPr="00023457">
        <w:t xml:space="preserve">treatment. </w:t>
      </w:r>
      <w:r>
        <w:t>While s</w:t>
      </w:r>
      <w:r w:rsidRPr="00023457">
        <w:t>ignificantly higher hemato</w:t>
      </w:r>
      <w:r>
        <w:t xml:space="preserve">crit and MCHC and lower RDW </w:t>
      </w:r>
      <w:r w:rsidRPr="00023457">
        <w:t xml:space="preserve">in chelate group on day 90 post-treatment. All CBC parameters on days 30, 60, and 90 post-treatment compared to baseline were significantly increased for both treatment arms. However, day 90 level of serum ferritin significantly increased in the chelate group. </w:t>
      </w:r>
    </w:p>
    <w:p w:rsidR="00AE3E37" w:rsidRDefault="00023457" w:rsidP="00023457">
      <w:pPr>
        <w:pStyle w:val="BodyText"/>
        <w:spacing w:before="90" w:line="280" w:lineRule="auto"/>
        <w:ind w:left="100"/>
        <w:jc w:val="both"/>
      </w:pPr>
      <w:r w:rsidRPr="00023457">
        <w:t xml:space="preserve">Conclusion: Iron amino acid chelate and ferrous sulfate is comparable in improving CBC parameters and serum ferritin. Iron amino acid chelate offers improved bioavailability and absorption due to its unique formulation. It is superior to ferrous sulfate as it achieves optimum treatment response, even at a lower dose with lesser adverse effects. </w:t>
      </w:r>
      <w:r w:rsidRPr="00023457">
        <w:rPr>
          <w:bCs/>
        </w:rPr>
        <w:t>Improved tolerability leads to better compliance resulting to successful treatment outcome</w:t>
      </w:r>
      <w:r>
        <w:rPr>
          <w:bCs/>
        </w:rPr>
        <w:t xml:space="preserve">. </w:t>
      </w:r>
    </w:p>
    <w:p w:rsidR="005973B9" w:rsidRDefault="00A9710C" w:rsidP="009F0CE7">
      <w:pPr>
        <w:pStyle w:val="Heading3"/>
        <w:spacing w:before="74"/>
        <w:rPr>
          <w:b w:val="0"/>
        </w:rPr>
      </w:pPr>
      <w:r>
        <w:rPr>
          <w:b w:val="0"/>
        </w:rPr>
        <w:br w:type="column"/>
      </w:r>
      <w:r w:rsidR="00195AC0">
        <w:rPr>
          <w:color w:val="BF5A14"/>
        </w:rPr>
        <w:lastRenderedPageBreak/>
        <w:t xml:space="preserve">Recent Publications/References </w:t>
      </w:r>
    </w:p>
    <w:p w:rsidR="005973B9" w:rsidRPr="009F0CE7" w:rsidRDefault="00023457" w:rsidP="00023457">
      <w:pPr>
        <w:pStyle w:val="ListParagraph"/>
        <w:numPr>
          <w:ilvl w:val="0"/>
          <w:numId w:val="3"/>
        </w:numPr>
        <w:tabs>
          <w:tab w:val="left" w:pos="384"/>
        </w:tabs>
        <w:spacing w:before="103" w:line="216" w:lineRule="exact"/>
        <w:ind w:right="138" w:hanging="283"/>
        <w:rPr>
          <w:sz w:val="16"/>
          <w:szCs w:val="20"/>
        </w:rPr>
      </w:pPr>
      <w:r w:rsidRPr="009F0CE7">
        <w:rPr>
          <w:sz w:val="16"/>
          <w:szCs w:val="20"/>
        </w:rPr>
        <w:t>Philippine Obstetrical &amp; Gynecological Society (Foundation), Inc. Clinical Practice Guidelines on Iron Deficiency Anemia, November 2015</w:t>
      </w:r>
      <w:r w:rsidR="005973B9" w:rsidRPr="009F0CE7">
        <w:rPr>
          <w:sz w:val="16"/>
          <w:szCs w:val="20"/>
        </w:rPr>
        <w:t>.</w:t>
      </w:r>
      <w:r w:rsidRPr="009F0CE7">
        <w:rPr>
          <w:sz w:val="16"/>
          <w:szCs w:val="20"/>
        </w:rPr>
        <w:t xml:space="preserve"> P. 2-3.</w:t>
      </w:r>
    </w:p>
    <w:p w:rsidR="005973B9" w:rsidRPr="009F0CE7" w:rsidRDefault="00023457" w:rsidP="00023457">
      <w:pPr>
        <w:pStyle w:val="ListParagraph"/>
        <w:numPr>
          <w:ilvl w:val="0"/>
          <w:numId w:val="3"/>
        </w:numPr>
        <w:tabs>
          <w:tab w:val="left" w:pos="384"/>
        </w:tabs>
        <w:spacing w:line="216" w:lineRule="exact"/>
        <w:ind w:right="137" w:hanging="283"/>
        <w:rPr>
          <w:sz w:val="16"/>
          <w:szCs w:val="20"/>
        </w:rPr>
      </w:pPr>
      <w:r w:rsidRPr="009F0CE7">
        <w:rPr>
          <w:sz w:val="16"/>
          <w:szCs w:val="20"/>
        </w:rPr>
        <w:t xml:space="preserve">Fairbanks FV. Iron in medicine and nutrition. En: Modern Nutrition in Health and Disease. ME </w:t>
      </w:r>
      <w:proofErr w:type="spellStart"/>
      <w:r w:rsidRPr="009F0CE7">
        <w:rPr>
          <w:sz w:val="16"/>
          <w:szCs w:val="20"/>
        </w:rPr>
        <w:t>Shils</w:t>
      </w:r>
      <w:proofErr w:type="spellEnd"/>
      <w:r w:rsidRPr="009F0CE7">
        <w:rPr>
          <w:sz w:val="16"/>
          <w:szCs w:val="20"/>
        </w:rPr>
        <w:t xml:space="preserve">, JA Olson &amp; M </w:t>
      </w:r>
      <w:proofErr w:type="spellStart"/>
      <w:r w:rsidRPr="009F0CE7">
        <w:rPr>
          <w:sz w:val="16"/>
          <w:szCs w:val="20"/>
        </w:rPr>
        <w:t>Shike</w:t>
      </w:r>
      <w:proofErr w:type="spellEnd"/>
      <w:r w:rsidRPr="009F0CE7">
        <w:rPr>
          <w:sz w:val="16"/>
          <w:szCs w:val="20"/>
        </w:rPr>
        <w:t xml:space="preserve">. (Eds.) Philadelphia, PA, Lea and </w:t>
      </w:r>
      <w:proofErr w:type="spellStart"/>
      <w:r w:rsidRPr="009F0CE7">
        <w:rPr>
          <w:sz w:val="16"/>
          <w:szCs w:val="20"/>
        </w:rPr>
        <w:t>Febiger</w:t>
      </w:r>
      <w:proofErr w:type="spellEnd"/>
      <w:r w:rsidRPr="009F0CE7">
        <w:rPr>
          <w:sz w:val="16"/>
          <w:szCs w:val="20"/>
        </w:rPr>
        <w:t>, VI, 1994, p. 186.</w:t>
      </w:r>
    </w:p>
    <w:p w:rsidR="00023457" w:rsidRPr="009F0CE7" w:rsidRDefault="00023457" w:rsidP="00023457">
      <w:pPr>
        <w:pStyle w:val="ListParagraph"/>
        <w:numPr>
          <w:ilvl w:val="0"/>
          <w:numId w:val="3"/>
        </w:numPr>
        <w:tabs>
          <w:tab w:val="left" w:pos="384"/>
        </w:tabs>
        <w:spacing w:before="92" w:line="218" w:lineRule="exact"/>
        <w:ind w:hanging="283"/>
        <w:rPr>
          <w:sz w:val="16"/>
          <w:szCs w:val="20"/>
        </w:rPr>
      </w:pPr>
      <w:proofErr w:type="spellStart"/>
      <w:r w:rsidRPr="009F0CE7">
        <w:rPr>
          <w:sz w:val="16"/>
          <w:szCs w:val="20"/>
        </w:rPr>
        <w:t>Ashmead</w:t>
      </w:r>
      <w:proofErr w:type="spellEnd"/>
      <w:r w:rsidRPr="009F0CE7">
        <w:rPr>
          <w:sz w:val="16"/>
          <w:szCs w:val="20"/>
        </w:rPr>
        <w:t xml:space="preserve"> HD, EJ Rapp &amp; JJ Name. </w:t>
      </w:r>
      <w:proofErr w:type="spellStart"/>
      <w:proofErr w:type="gramStart"/>
      <w:r w:rsidRPr="009F0CE7">
        <w:rPr>
          <w:sz w:val="16"/>
          <w:szCs w:val="20"/>
        </w:rPr>
        <w:t>Uso</w:t>
      </w:r>
      <w:proofErr w:type="spellEnd"/>
      <w:proofErr w:type="gramEnd"/>
      <w:r w:rsidRPr="009F0CE7">
        <w:rPr>
          <w:sz w:val="16"/>
          <w:szCs w:val="20"/>
        </w:rPr>
        <w:t xml:space="preserve"> de amino </w:t>
      </w:r>
      <w:proofErr w:type="spellStart"/>
      <w:r w:rsidRPr="009F0CE7">
        <w:rPr>
          <w:sz w:val="16"/>
          <w:szCs w:val="20"/>
        </w:rPr>
        <w:t>acidos</w:t>
      </w:r>
      <w:proofErr w:type="spellEnd"/>
      <w:r w:rsidRPr="009F0CE7">
        <w:rPr>
          <w:sz w:val="16"/>
          <w:szCs w:val="20"/>
        </w:rPr>
        <w:t xml:space="preserve"> </w:t>
      </w:r>
      <w:proofErr w:type="spellStart"/>
      <w:r w:rsidRPr="009F0CE7">
        <w:rPr>
          <w:sz w:val="16"/>
          <w:szCs w:val="20"/>
        </w:rPr>
        <w:t>quelatos</w:t>
      </w:r>
      <w:proofErr w:type="spellEnd"/>
      <w:r w:rsidRPr="009F0CE7">
        <w:rPr>
          <w:sz w:val="16"/>
          <w:szCs w:val="20"/>
        </w:rPr>
        <w:t xml:space="preserve"> </w:t>
      </w:r>
      <w:proofErr w:type="spellStart"/>
      <w:r w:rsidRPr="009F0CE7">
        <w:rPr>
          <w:sz w:val="16"/>
          <w:szCs w:val="20"/>
        </w:rPr>
        <w:t>na</w:t>
      </w:r>
      <w:proofErr w:type="spellEnd"/>
      <w:r w:rsidRPr="009F0CE7">
        <w:rPr>
          <w:sz w:val="16"/>
          <w:szCs w:val="20"/>
        </w:rPr>
        <w:t xml:space="preserve"> </w:t>
      </w:r>
      <w:proofErr w:type="spellStart"/>
      <w:r w:rsidRPr="009F0CE7">
        <w:rPr>
          <w:sz w:val="16"/>
          <w:szCs w:val="20"/>
        </w:rPr>
        <w:t>fortificaco</w:t>
      </w:r>
      <w:proofErr w:type="spellEnd"/>
      <w:r w:rsidRPr="009F0CE7">
        <w:rPr>
          <w:sz w:val="16"/>
          <w:szCs w:val="20"/>
        </w:rPr>
        <w:t xml:space="preserve"> de </w:t>
      </w:r>
      <w:proofErr w:type="spellStart"/>
      <w:r w:rsidRPr="009F0CE7">
        <w:rPr>
          <w:sz w:val="16"/>
          <w:szCs w:val="20"/>
        </w:rPr>
        <w:t>alimentos</w:t>
      </w:r>
      <w:proofErr w:type="spellEnd"/>
      <w:r w:rsidRPr="009F0CE7">
        <w:rPr>
          <w:sz w:val="16"/>
          <w:szCs w:val="20"/>
        </w:rPr>
        <w:t xml:space="preserve">. </w:t>
      </w:r>
      <w:proofErr w:type="spellStart"/>
      <w:r w:rsidRPr="009F0CE7">
        <w:rPr>
          <w:sz w:val="16"/>
          <w:szCs w:val="20"/>
        </w:rPr>
        <w:t>Proc</w:t>
      </w:r>
      <w:proofErr w:type="spellEnd"/>
      <w:r w:rsidRPr="009F0CE7">
        <w:rPr>
          <w:sz w:val="16"/>
          <w:szCs w:val="20"/>
        </w:rPr>
        <w:t xml:space="preserve"> O </w:t>
      </w:r>
      <w:proofErr w:type="spellStart"/>
      <w:r w:rsidRPr="009F0CE7">
        <w:rPr>
          <w:sz w:val="16"/>
          <w:szCs w:val="20"/>
        </w:rPr>
        <w:t>Seminario</w:t>
      </w:r>
      <w:proofErr w:type="spellEnd"/>
      <w:r w:rsidRPr="009F0CE7">
        <w:rPr>
          <w:sz w:val="16"/>
          <w:szCs w:val="20"/>
        </w:rPr>
        <w:t xml:space="preserve"> </w:t>
      </w:r>
      <w:proofErr w:type="spellStart"/>
      <w:r w:rsidRPr="009F0CE7">
        <w:rPr>
          <w:sz w:val="16"/>
          <w:szCs w:val="20"/>
        </w:rPr>
        <w:t>Brasilero</w:t>
      </w:r>
      <w:proofErr w:type="spellEnd"/>
      <w:r w:rsidRPr="009F0CE7">
        <w:rPr>
          <w:sz w:val="16"/>
          <w:szCs w:val="20"/>
        </w:rPr>
        <w:t xml:space="preserve"> de </w:t>
      </w:r>
      <w:proofErr w:type="spellStart"/>
      <w:r w:rsidRPr="009F0CE7">
        <w:rPr>
          <w:sz w:val="16"/>
          <w:szCs w:val="20"/>
        </w:rPr>
        <w:t>Alimentos</w:t>
      </w:r>
      <w:proofErr w:type="spellEnd"/>
      <w:r w:rsidRPr="009F0CE7">
        <w:rPr>
          <w:sz w:val="16"/>
          <w:szCs w:val="20"/>
        </w:rPr>
        <w:t xml:space="preserve"> </w:t>
      </w:r>
      <w:proofErr w:type="spellStart"/>
      <w:r w:rsidRPr="009F0CE7">
        <w:rPr>
          <w:sz w:val="16"/>
          <w:szCs w:val="20"/>
        </w:rPr>
        <w:t>Enriquecidos</w:t>
      </w:r>
      <w:proofErr w:type="spellEnd"/>
      <w:r w:rsidRPr="009F0CE7">
        <w:rPr>
          <w:sz w:val="16"/>
          <w:szCs w:val="20"/>
        </w:rPr>
        <w:t>, 1994, p. 32-37.</w:t>
      </w:r>
    </w:p>
    <w:p w:rsidR="00195AC0" w:rsidRPr="009F0CE7" w:rsidRDefault="00023457" w:rsidP="00195AC0">
      <w:pPr>
        <w:pStyle w:val="ListParagraph"/>
        <w:numPr>
          <w:ilvl w:val="0"/>
          <w:numId w:val="3"/>
        </w:numPr>
        <w:tabs>
          <w:tab w:val="left" w:pos="384"/>
        </w:tabs>
        <w:spacing w:before="92" w:line="218" w:lineRule="exact"/>
        <w:ind w:hanging="283"/>
        <w:rPr>
          <w:sz w:val="16"/>
          <w:szCs w:val="20"/>
        </w:rPr>
      </w:pPr>
      <w:r w:rsidRPr="009F0CE7">
        <w:rPr>
          <w:sz w:val="16"/>
          <w:szCs w:val="20"/>
        </w:rPr>
        <w:t xml:space="preserve">Allen LH. Properties of iron amino acid chelate as iron </w:t>
      </w:r>
      <w:proofErr w:type="spellStart"/>
      <w:r w:rsidRPr="009F0CE7">
        <w:rPr>
          <w:sz w:val="16"/>
          <w:szCs w:val="20"/>
        </w:rPr>
        <w:t>fortificants</w:t>
      </w:r>
      <w:proofErr w:type="spellEnd"/>
      <w:r w:rsidRPr="009F0CE7">
        <w:rPr>
          <w:sz w:val="16"/>
          <w:szCs w:val="20"/>
        </w:rPr>
        <w:t xml:space="preserve"> for maize. In: Proceedings International Conference on Human Nutrition. Salt Lake City, UT, Albion Laboratories, Inc., 1998, p. 96-108. </w:t>
      </w:r>
    </w:p>
    <w:p w:rsidR="00AE3E37" w:rsidRPr="009F0CE7" w:rsidRDefault="00195AC0" w:rsidP="008756E6">
      <w:pPr>
        <w:pStyle w:val="ListParagraph"/>
        <w:numPr>
          <w:ilvl w:val="0"/>
          <w:numId w:val="3"/>
        </w:numPr>
        <w:tabs>
          <w:tab w:val="left" w:pos="384"/>
        </w:tabs>
        <w:spacing w:before="92" w:line="218" w:lineRule="exact"/>
        <w:ind w:right="117" w:hanging="283"/>
        <w:rPr>
          <w:sz w:val="20"/>
          <w:szCs w:val="20"/>
        </w:rPr>
      </w:pPr>
      <w:proofErr w:type="spellStart"/>
      <w:r w:rsidRPr="009F0CE7">
        <w:rPr>
          <w:sz w:val="16"/>
          <w:szCs w:val="20"/>
        </w:rPr>
        <w:t>Williarns</w:t>
      </w:r>
      <w:proofErr w:type="spellEnd"/>
      <w:r w:rsidRPr="009F0CE7">
        <w:rPr>
          <w:sz w:val="16"/>
          <w:szCs w:val="20"/>
        </w:rPr>
        <w:t xml:space="preserve"> RJP. An introduction to the nature of iron transport and storage. En: Iron Transport and Storage. </w:t>
      </w:r>
      <w:proofErr w:type="spellStart"/>
      <w:r w:rsidRPr="009F0CE7">
        <w:rPr>
          <w:sz w:val="16"/>
          <w:szCs w:val="20"/>
        </w:rPr>
        <w:t>Ponka</w:t>
      </w:r>
      <w:proofErr w:type="spellEnd"/>
      <w:r w:rsidRPr="009F0CE7">
        <w:rPr>
          <w:sz w:val="16"/>
          <w:szCs w:val="20"/>
        </w:rPr>
        <w:t xml:space="preserve">, P, HM Schulman &amp; RC Woodworth. (Eds.) Boca Raton, FL, CRC Press, 1990, p.I-15. </w:t>
      </w:r>
    </w:p>
    <w:p w:rsidR="00195AC0" w:rsidRPr="009F0CE7" w:rsidRDefault="00195AC0" w:rsidP="00195AC0">
      <w:pPr>
        <w:pStyle w:val="ListParagraph"/>
        <w:numPr>
          <w:ilvl w:val="0"/>
          <w:numId w:val="3"/>
        </w:numPr>
        <w:tabs>
          <w:tab w:val="left" w:pos="384"/>
        </w:tabs>
        <w:spacing w:before="92" w:line="218" w:lineRule="exact"/>
        <w:ind w:right="117" w:hanging="283"/>
        <w:rPr>
          <w:sz w:val="16"/>
          <w:szCs w:val="16"/>
        </w:rPr>
      </w:pPr>
      <w:r w:rsidRPr="009F0CE7">
        <w:rPr>
          <w:sz w:val="16"/>
          <w:szCs w:val="16"/>
        </w:rPr>
        <w:t>Cunningham, F., et.al. (2014). Williams Obstetrics, 24</w:t>
      </w:r>
      <w:r w:rsidRPr="009F0CE7">
        <w:rPr>
          <w:sz w:val="16"/>
          <w:szCs w:val="16"/>
          <w:vertAlign w:val="superscript"/>
        </w:rPr>
        <w:t>th</w:t>
      </w:r>
      <w:r w:rsidRPr="009F0CE7">
        <w:rPr>
          <w:sz w:val="16"/>
          <w:szCs w:val="16"/>
        </w:rPr>
        <w:t xml:space="preserve"> Edition, Chapter 4, p. 55. </w:t>
      </w:r>
    </w:p>
    <w:p w:rsidR="00195AC0" w:rsidRPr="009F0CE7" w:rsidRDefault="00195AC0" w:rsidP="009F0CE7">
      <w:pPr>
        <w:pStyle w:val="ListParagraph"/>
        <w:numPr>
          <w:ilvl w:val="0"/>
          <w:numId w:val="3"/>
        </w:numPr>
        <w:tabs>
          <w:tab w:val="left" w:pos="384"/>
        </w:tabs>
        <w:spacing w:before="92" w:line="218" w:lineRule="exact"/>
        <w:ind w:right="117" w:hanging="283"/>
        <w:rPr>
          <w:sz w:val="16"/>
          <w:szCs w:val="16"/>
        </w:rPr>
      </w:pPr>
      <w:r w:rsidRPr="009F0CE7">
        <w:rPr>
          <w:bCs/>
          <w:iCs/>
          <w:sz w:val="16"/>
          <w:szCs w:val="16"/>
        </w:rPr>
        <w:t>Comparison of oral iron supplements. Pharmacist’s Letter/Prescriber’s Letter 2008;</w:t>
      </w:r>
      <w:r w:rsidR="009F0CE7">
        <w:rPr>
          <w:bCs/>
          <w:iCs/>
          <w:sz w:val="16"/>
          <w:szCs w:val="16"/>
        </w:rPr>
        <w:t xml:space="preserve"> </w:t>
      </w:r>
      <w:r w:rsidRPr="009F0CE7">
        <w:rPr>
          <w:bCs/>
          <w:iCs/>
          <w:sz w:val="16"/>
          <w:szCs w:val="16"/>
        </w:rPr>
        <w:t xml:space="preserve">24(8):240811. </w:t>
      </w:r>
    </w:p>
    <w:p w:rsidR="00195AC0" w:rsidRPr="009F0CE7" w:rsidRDefault="00195AC0" w:rsidP="00195AC0">
      <w:pPr>
        <w:pStyle w:val="ListParagraph"/>
        <w:numPr>
          <w:ilvl w:val="0"/>
          <w:numId w:val="3"/>
        </w:numPr>
        <w:tabs>
          <w:tab w:val="left" w:pos="384"/>
        </w:tabs>
        <w:spacing w:before="92" w:line="218" w:lineRule="exact"/>
        <w:ind w:right="117" w:hanging="283"/>
        <w:rPr>
          <w:sz w:val="16"/>
          <w:szCs w:val="16"/>
        </w:rPr>
      </w:pPr>
      <w:r w:rsidRPr="009F0CE7">
        <w:rPr>
          <w:sz w:val="16"/>
          <w:szCs w:val="16"/>
        </w:rPr>
        <w:t>Baker RD, Greer FR; Committee on Nutrition, American Academy of Pediatrics. Diagnosis and prevention of iron deficiency and iron-deficiency anemia in infants and young children (0–3 years of age). </w:t>
      </w:r>
      <w:r w:rsidRPr="009F0CE7">
        <w:rPr>
          <w:i/>
          <w:iCs/>
          <w:sz w:val="16"/>
          <w:szCs w:val="16"/>
        </w:rPr>
        <w:t>Pediatrics</w:t>
      </w:r>
      <w:r w:rsidRPr="009F0CE7">
        <w:rPr>
          <w:sz w:val="16"/>
          <w:szCs w:val="16"/>
        </w:rPr>
        <w:t>. 2010; 126(5):1040–1050.</w:t>
      </w:r>
    </w:p>
    <w:p w:rsidR="00195AC0" w:rsidRPr="00195AC0" w:rsidRDefault="00195AC0" w:rsidP="00195AC0">
      <w:pPr>
        <w:pStyle w:val="ListParagraph"/>
        <w:numPr>
          <w:ilvl w:val="0"/>
          <w:numId w:val="3"/>
        </w:numPr>
        <w:tabs>
          <w:tab w:val="left" w:pos="384"/>
        </w:tabs>
        <w:spacing w:before="92" w:line="218" w:lineRule="exact"/>
        <w:ind w:right="117" w:hanging="283"/>
        <w:rPr>
          <w:sz w:val="18"/>
          <w:szCs w:val="18"/>
        </w:rPr>
      </w:pPr>
      <w:r w:rsidRPr="009F0CE7">
        <w:rPr>
          <w:sz w:val="16"/>
          <w:szCs w:val="16"/>
        </w:rPr>
        <w:t xml:space="preserve">Goddard AF, James MW, McIntyre AS, Scott BB; British Society of Gastroenterology. Guidelines for the management of iron deficiency </w:t>
      </w:r>
      <w:proofErr w:type="spellStart"/>
      <w:r w:rsidRPr="009F0CE7">
        <w:rPr>
          <w:sz w:val="16"/>
          <w:szCs w:val="16"/>
        </w:rPr>
        <w:t>anaemia</w:t>
      </w:r>
      <w:proofErr w:type="spellEnd"/>
      <w:r w:rsidRPr="009F0CE7">
        <w:rPr>
          <w:sz w:val="16"/>
          <w:szCs w:val="16"/>
        </w:rPr>
        <w:t>. </w:t>
      </w:r>
      <w:r w:rsidRPr="009F0CE7">
        <w:rPr>
          <w:i/>
          <w:iCs/>
          <w:sz w:val="16"/>
          <w:szCs w:val="16"/>
        </w:rPr>
        <w:t>Gut</w:t>
      </w:r>
      <w:r w:rsidRPr="009F0CE7">
        <w:rPr>
          <w:sz w:val="16"/>
          <w:szCs w:val="16"/>
        </w:rPr>
        <w:t>. 2011</w:t>
      </w:r>
      <w:proofErr w:type="gramStart"/>
      <w:r w:rsidRPr="009F0CE7">
        <w:rPr>
          <w:sz w:val="16"/>
          <w:szCs w:val="16"/>
        </w:rPr>
        <w:t>;60</w:t>
      </w:r>
      <w:proofErr w:type="gramEnd"/>
      <w:r w:rsidRPr="009F0CE7">
        <w:rPr>
          <w:sz w:val="16"/>
          <w:szCs w:val="16"/>
        </w:rPr>
        <w:t>(10):1309–1316.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rsidP="00944ADC">
      <w:pPr>
        <w:pStyle w:val="BodyText"/>
        <w:rPr>
          <w:rFonts w:ascii="Calibri"/>
          <w:b/>
          <w:sz w:val="20"/>
        </w:rPr>
      </w:pPr>
      <w:r>
        <w:rPr>
          <w:rFonts w:ascii="Calibri"/>
          <w:sz w:val="20"/>
        </w:rPr>
        <w:lastRenderedPageBreak/>
        <w:t xml:space="preserve">                 </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A4B92E5" wp14:editId="504F427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5439EC" w:rsidP="005439EC">
      <w:pPr>
        <w:spacing w:before="92"/>
        <w:ind w:right="4234"/>
        <w:rPr>
          <w:rFonts w:ascii="Arial"/>
        </w:rPr>
      </w:pPr>
      <w:r>
        <w:rPr>
          <w:noProof/>
        </w:rPr>
        <w:drawing>
          <wp:anchor distT="0" distB="0" distL="114300" distR="114300" simplePos="0" relativeHeight="251659264" behindDoc="0" locked="0" layoutInCell="1" allowOverlap="1" wp14:anchorId="61FD3F03" wp14:editId="4B674C67">
            <wp:simplePos x="0" y="0"/>
            <wp:positionH relativeFrom="margin">
              <wp:posOffset>311150</wp:posOffset>
            </wp:positionH>
            <wp:positionV relativeFrom="margin">
              <wp:posOffset>7927975</wp:posOffset>
            </wp:positionV>
            <wp:extent cx="628650" cy="628650"/>
            <wp:effectExtent l="0" t="0" r="0" b="0"/>
            <wp:wrapSquare wrapText="bothSides"/>
            <wp:docPr id="2" name="Picture 2" descr="C:\Users\user\Documents\My Files\JOB HUNT\Curriculum Vitae\squ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My Files\JOB HUNT\Curriculum Vitae\squar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p>
    <w:p w:rsidR="00195AC0" w:rsidRDefault="00195AC0" w:rsidP="005439EC">
      <w:pPr>
        <w:spacing w:before="41" w:line="154" w:lineRule="atLeast"/>
        <w:ind w:left="213" w:right="231"/>
        <w:jc w:val="both"/>
        <w:rPr>
          <w:rFonts w:ascii="Arial"/>
          <w:sz w:val="14"/>
        </w:rPr>
      </w:pPr>
      <w:r>
        <w:rPr>
          <w:rFonts w:ascii="Arial"/>
          <w:sz w:val="14"/>
        </w:rPr>
        <w:t xml:space="preserve">Dr. Ma. Agnes </w:t>
      </w:r>
      <w:proofErr w:type="spellStart"/>
      <w:r>
        <w:rPr>
          <w:rFonts w:ascii="Arial"/>
          <w:sz w:val="14"/>
        </w:rPr>
        <w:t>Ablay</w:t>
      </w:r>
      <w:proofErr w:type="spellEnd"/>
      <w:r>
        <w:rPr>
          <w:rFonts w:ascii="Arial"/>
          <w:sz w:val="14"/>
        </w:rPr>
        <w:t xml:space="preserve"> Santiago </w:t>
      </w:r>
      <w:r>
        <w:rPr>
          <w:rFonts w:ascii="Arial"/>
          <w:sz w:val="14"/>
        </w:rPr>
        <w:t xml:space="preserve">completed </w:t>
      </w:r>
      <w:r>
        <w:rPr>
          <w:rFonts w:ascii="Arial"/>
          <w:sz w:val="14"/>
        </w:rPr>
        <w:t>her</w:t>
      </w:r>
      <w:r w:rsidR="00944ADC">
        <w:rPr>
          <w:rFonts w:ascii="Arial"/>
          <w:sz w:val="14"/>
        </w:rPr>
        <w:t xml:space="preserve"> Degree of Medicine in </w:t>
      </w:r>
      <w:r>
        <w:rPr>
          <w:rFonts w:ascii="Arial"/>
          <w:sz w:val="14"/>
        </w:rPr>
        <w:t xml:space="preserve"> </w:t>
      </w:r>
      <w:r w:rsidR="00944ADC">
        <w:rPr>
          <w:rFonts w:ascii="Arial"/>
          <w:sz w:val="14"/>
        </w:rPr>
        <w:t xml:space="preserve">Far Eastern University - </w:t>
      </w:r>
      <w:proofErr w:type="spellStart"/>
      <w:r w:rsidR="00944ADC">
        <w:rPr>
          <w:rFonts w:ascii="Arial"/>
          <w:sz w:val="14"/>
        </w:rPr>
        <w:t>Nicanor</w:t>
      </w:r>
      <w:proofErr w:type="spellEnd"/>
      <w:r w:rsidR="00944ADC">
        <w:rPr>
          <w:rFonts w:ascii="Arial"/>
          <w:sz w:val="14"/>
        </w:rPr>
        <w:t xml:space="preserve"> Reyes Medical Foundation</w:t>
      </w:r>
      <w:r w:rsidR="00944ADC">
        <w:rPr>
          <w:rFonts w:ascii="Arial"/>
          <w:sz w:val="14"/>
        </w:rPr>
        <w:t xml:space="preserve"> on year 2011 and obtained her Physician Licensure </w:t>
      </w:r>
      <w:r w:rsidR="00944ADC">
        <w:rPr>
          <w:rFonts w:ascii="Arial"/>
          <w:sz w:val="14"/>
        </w:rPr>
        <w:t xml:space="preserve"> </w:t>
      </w:r>
      <w:r w:rsidR="00944ADC">
        <w:rPr>
          <w:rFonts w:ascii="Arial"/>
          <w:sz w:val="14"/>
        </w:rPr>
        <w:t xml:space="preserve">Examination last 2012. She had her </w:t>
      </w:r>
      <w:r>
        <w:rPr>
          <w:rFonts w:ascii="Arial"/>
          <w:sz w:val="14"/>
        </w:rPr>
        <w:t xml:space="preserve">Obstetrics and Gynecology </w:t>
      </w:r>
      <w:r>
        <w:rPr>
          <w:rFonts w:ascii="Arial"/>
          <w:sz w:val="14"/>
        </w:rPr>
        <w:t>specialization in</w:t>
      </w:r>
      <w:r w:rsidR="00944ADC">
        <w:rPr>
          <w:rFonts w:ascii="Arial"/>
          <w:sz w:val="14"/>
        </w:rPr>
        <w:t xml:space="preserve"> the same institution</w:t>
      </w:r>
      <w:r>
        <w:rPr>
          <w:rFonts w:ascii="Arial"/>
          <w:sz w:val="14"/>
        </w:rPr>
        <w:t xml:space="preserve"> from 2014 to 2017. </w:t>
      </w:r>
      <w:r w:rsidR="00944ADC">
        <w:rPr>
          <w:rFonts w:ascii="Arial"/>
          <w:sz w:val="14"/>
        </w:rPr>
        <w:t>She was the Chief Resident during her final year</w:t>
      </w:r>
      <w:r w:rsidR="005439EC">
        <w:rPr>
          <w:rFonts w:ascii="Arial"/>
          <w:sz w:val="14"/>
        </w:rPr>
        <w:t xml:space="preserve"> of training where part of her administrative work is to teach Medical students for the subject Physiologic and Pathologic Obstetrics and Gynecology. </w:t>
      </w:r>
      <w:r>
        <w:rPr>
          <w:rFonts w:ascii="Arial"/>
          <w:sz w:val="14"/>
        </w:rPr>
        <w:t xml:space="preserve">This study was </w:t>
      </w:r>
      <w:r>
        <w:rPr>
          <w:rFonts w:ascii="Arial"/>
          <w:sz w:val="14"/>
        </w:rPr>
        <w:t>conducted during her residency training</w:t>
      </w:r>
      <w:r w:rsidR="00944ADC">
        <w:rPr>
          <w:rFonts w:ascii="Arial"/>
          <w:sz w:val="14"/>
        </w:rPr>
        <w:t>.</w:t>
      </w:r>
      <w:r>
        <w:rPr>
          <w:rFonts w:ascii="Arial"/>
          <w:sz w:val="14"/>
        </w:rPr>
        <w:t xml:space="preserve"> </w:t>
      </w:r>
      <w:r w:rsidR="00944ADC">
        <w:rPr>
          <w:rFonts w:ascii="Arial"/>
          <w:sz w:val="14"/>
        </w:rPr>
        <w:t xml:space="preserve">She aims to lessen the burden of anemia as one of the leading cause of morbidity in their institution hence this study was pursued.    </w:t>
      </w:r>
      <w:r>
        <w:rPr>
          <w:rFonts w:ascii="Arial"/>
          <w:sz w:val="14"/>
        </w:rPr>
        <w:t xml:space="preserve"> </w:t>
      </w:r>
    </w:p>
    <w:p w:rsidR="00944ADC" w:rsidRDefault="00944ADC">
      <w:pPr>
        <w:spacing w:before="62"/>
        <w:ind w:left="4217" w:right="4235"/>
        <w:jc w:val="center"/>
        <w:rPr>
          <w:rFonts w:ascii="Arial"/>
          <w:sz w:val="14"/>
        </w:rPr>
      </w:pPr>
    </w:p>
    <w:p w:rsidR="005439EC" w:rsidRDefault="005439EC">
      <w:pPr>
        <w:spacing w:before="62"/>
        <w:ind w:left="4217" w:right="4235"/>
        <w:jc w:val="center"/>
        <w:rPr>
          <w:rFonts w:ascii="Arial"/>
          <w:sz w:val="14"/>
        </w:rPr>
      </w:pPr>
    </w:p>
    <w:p w:rsidR="00AE3E37" w:rsidRDefault="00A9710C" w:rsidP="005439EC">
      <w:pPr>
        <w:spacing w:before="62"/>
        <w:ind w:left="4217" w:right="4235"/>
        <w:jc w:val="center"/>
        <w:rPr>
          <w:rFonts w:ascii="Arial"/>
          <w:sz w:val="29"/>
        </w:rPr>
      </w:pPr>
      <w:r>
        <w:rPr>
          <w:rFonts w:ascii="Arial"/>
          <w:sz w:val="14"/>
        </w:rPr>
        <w:t xml:space="preserve">Email: </w:t>
      </w:r>
      <w:r w:rsidR="008756E6" w:rsidRPr="005439EC">
        <w:rPr>
          <w:rFonts w:ascii="Arial"/>
          <w:sz w:val="14"/>
        </w:rPr>
        <w:t>d</w:t>
      </w:r>
      <w:r w:rsidR="005439EC">
        <w:rPr>
          <w:rFonts w:ascii="Arial"/>
          <w:sz w:val="14"/>
        </w:rPr>
        <w:t>ocagisantiago@gmail.com</w:t>
      </w:r>
      <w:r w:rsidR="00292ED9">
        <w:rPr>
          <w:noProof/>
        </w:rPr>
        <mc:AlternateContent>
          <mc:Choice Requires="wps">
            <w:drawing>
              <wp:anchor distT="0" distB="0" distL="0" distR="0" simplePos="0" relativeHeight="1072" behindDoc="0" locked="0" layoutInCell="1" allowOverlap="1" wp14:anchorId="187872B5" wp14:editId="5FD53CD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376" w:rsidRDefault="00657376">
      <w:r>
        <w:separator/>
      </w:r>
    </w:p>
  </w:endnote>
  <w:endnote w:type="continuationSeparator" w:id="0">
    <w:p w:rsidR="00657376" w:rsidRDefault="00657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C1C3301" wp14:editId="20DD7E7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C4856B1" wp14:editId="2E32B37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A1CD7E4" wp14:editId="6F932DF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376" w:rsidRDefault="00657376">
      <w:r>
        <w:separator/>
      </w:r>
    </w:p>
  </w:footnote>
  <w:footnote w:type="continuationSeparator" w:id="0">
    <w:p w:rsidR="00657376" w:rsidRDefault="006573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D8BD1B6" wp14:editId="57F9184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A24F127" wp14:editId="46440FB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457"/>
    <w:rsid w:val="000E2911"/>
    <w:rsid w:val="001263DF"/>
    <w:rsid w:val="00195AC0"/>
    <w:rsid w:val="001E763C"/>
    <w:rsid w:val="00292ED9"/>
    <w:rsid w:val="00314AFB"/>
    <w:rsid w:val="003B76D9"/>
    <w:rsid w:val="00404E5B"/>
    <w:rsid w:val="00414F7B"/>
    <w:rsid w:val="004355DC"/>
    <w:rsid w:val="004749B4"/>
    <w:rsid w:val="00494130"/>
    <w:rsid w:val="004F3523"/>
    <w:rsid w:val="005439EC"/>
    <w:rsid w:val="005973B9"/>
    <w:rsid w:val="005B3A56"/>
    <w:rsid w:val="006060CE"/>
    <w:rsid w:val="0063497F"/>
    <w:rsid w:val="00657376"/>
    <w:rsid w:val="0078738A"/>
    <w:rsid w:val="00873DF0"/>
    <w:rsid w:val="008756E6"/>
    <w:rsid w:val="00944ADC"/>
    <w:rsid w:val="009B2D44"/>
    <w:rsid w:val="009F0CE7"/>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3</cp:revision>
  <dcterms:created xsi:type="dcterms:W3CDTF">2018-11-30T12:31:00Z</dcterms:created>
  <dcterms:modified xsi:type="dcterms:W3CDTF">2018-11-30T12:32:00Z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