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Value of reducing Intraperitoneal Cisplatin dose In </w:t>
      </w:r>
      <w:proofErr w:type="spellStart"/>
      <w:r w:rsidRPr="0085400B">
        <w:rPr>
          <w:rFonts w:ascii="Times New Roman" w:eastAsia="Times New Roman" w:hAnsi="Times New Roman" w:cs="Times New Roman"/>
          <w:b/>
          <w:bCs/>
          <w:sz w:val="28"/>
          <w:szCs w:val="28"/>
        </w:rPr>
        <w:t>Debulked</w:t>
      </w:r>
      <w:proofErr w:type="spellEnd"/>
      <w:r w:rsidRPr="008540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Advanced Epithelial Ovarian Cancer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Ahmed </w:t>
      </w:r>
      <w:proofErr w:type="spellStart"/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elagwany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 Mahmoud </w:t>
      </w:r>
      <w:proofErr w:type="spellStart"/>
      <w:r w:rsidRPr="0085400B">
        <w:rPr>
          <w:rFonts w:ascii="Times New Roman" w:eastAsia="Times New Roman" w:hAnsi="Times New Roman" w:cs="Times New Roman"/>
          <w:sz w:val="28"/>
          <w:szCs w:val="28"/>
        </w:rPr>
        <w:t>meleis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>Abstract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Introduction :</w:t>
      </w:r>
      <w:proofErr w:type="gramEnd"/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The current standard of management for advanced (stage III or V) ovarian cancer is </w:t>
      </w:r>
      <w:proofErr w:type="spellStart"/>
      <w:r w:rsidRPr="0085400B">
        <w:rPr>
          <w:rFonts w:ascii="Times New Roman" w:eastAsia="Times New Roman" w:hAnsi="Times New Roman" w:cs="Times New Roman"/>
          <w:sz w:val="28"/>
          <w:szCs w:val="28"/>
        </w:rPr>
        <w:t>cytoreductive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surgery followed by administration of systemic chemotherapy.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combination of platinum (Cisplatin or carboplatin) and </w:t>
      </w:r>
      <w:proofErr w:type="spellStart"/>
      <w:r w:rsidRPr="0085400B">
        <w:rPr>
          <w:rFonts w:ascii="Times New Roman" w:eastAsia="Times New Roman" w:hAnsi="Times New Roman" w:cs="Times New Roman"/>
          <w:sz w:val="28"/>
          <w:szCs w:val="28"/>
        </w:rPr>
        <w:t>taxans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(paclitaxel) have become the standard first-line chemotherapy regimen.  In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2006  a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clinical alert on the use of IP chemotherapy as the preferred method of treatment in women with optimally </w:t>
      </w:r>
      <w:proofErr w:type="spellStart"/>
      <w:r w:rsidRPr="0085400B">
        <w:rPr>
          <w:rFonts w:ascii="Times New Roman" w:eastAsia="Times New Roman" w:hAnsi="Times New Roman" w:cs="Times New Roman"/>
          <w:sz w:val="28"/>
          <w:szCs w:val="28"/>
        </w:rPr>
        <w:t>debulked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(&lt; I cm) stage III epithelial ovarian cancer is issued . Many centers have switched to using a lower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dose  of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cisplatin IP in an attempt to reduce toxicity and improve patient tolerance. In a recent survey of IP practice patterns, 54% reported using cisplatin 75 mg/m</w:t>
      </w:r>
      <w:r w:rsidRPr="0085400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IP, while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only  37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>% said they used the 100 mg/m</w:t>
      </w:r>
      <w:r w:rsidRPr="0085400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dose.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Objective: 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We aimed to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evaluate  the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response and toxicity of a lower than standard doses of IP cisplatin in </w:t>
      </w:r>
      <w:proofErr w:type="spellStart"/>
      <w:r w:rsidRPr="0085400B">
        <w:rPr>
          <w:rFonts w:ascii="Times New Roman" w:eastAsia="Times New Roman" w:hAnsi="Times New Roman" w:cs="Times New Roman"/>
          <w:sz w:val="28"/>
          <w:szCs w:val="28"/>
        </w:rPr>
        <w:t>debulked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advanced epithelial ovarian cancer.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Methods: 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60 patients were included in this prospective study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with  20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cases with primary </w:t>
      </w:r>
      <w:proofErr w:type="spellStart"/>
      <w:r w:rsidRPr="0085400B">
        <w:rPr>
          <w:rFonts w:ascii="Times New Roman" w:eastAsia="Times New Roman" w:hAnsi="Times New Roman" w:cs="Times New Roman"/>
          <w:sz w:val="28"/>
          <w:szCs w:val="28"/>
        </w:rPr>
        <w:t>cytoreductive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surgery (PCRS ) and  40 cases underwent neoadjuvant chemotherapy followed by IDS (interval </w:t>
      </w:r>
      <w:proofErr w:type="spellStart"/>
      <w:r w:rsidRPr="0085400B">
        <w:rPr>
          <w:rFonts w:ascii="Times New Roman" w:eastAsia="Times New Roman" w:hAnsi="Times New Roman" w:cs="Times New Roman"/>
          <w:sz w:val="28"/>
          <w:szCs w:val="28"/>
        </w:rPr>
        <w:t>debulking</w:t>
      </w:r>
      <w:proofErr w:type="spell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surgery )  .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basal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CT and serum ca 125 was done before surgery  along with CBC, LFT, RFT . CT and CA 125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was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done after surgery as a base line.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IP catheter was introduced during surgery through right   upper abdominal quadrant if there is no  more than 1 cm residual tumor . 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half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of patients received IP cisplatin 80mg/m</w:t>
      </w:r>
      <w:r w:rsidRPr="0085400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with IV paclitaxel (group I)  and the other half received 50 mg/m</w:t>
      </w:r>
      <w:r w:rsidRPr="0085400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 with IV paclitaxel (group II) .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chemotherapy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doses was given every 3 weeks for 3 cycles .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after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completion of the cycles, we measured serum CA l25 , performed CT and  assessed the toxicity .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>Results: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Most patients in our study were aged 50 to 60 years with stage III epithelial ovarian cancer. Serum CA l25 decreased significantly after chemotherapy nearly </w:t>
      </w:r>
      <w:r w:rsidRPr="0085400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similar in both groups with no statistically significance between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groups .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toxicity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was more in group I and was  statistically significant regarding nephrotoxicity , neurotoxicity, nausea and vomiting  and loss of appetite .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it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was  not significant regarding neutropenia.  Catheter complications were observed in 17.3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%  of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patients with no significant difference between  both groups. The proportion of patients completing all cycles was 47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%  and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 65.2%in group I and II respectively that was not  statistically significant . Non completeness of the cycles was due to catheter related complications or drug toxicity.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>Conclusion: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The use of 50mg/m</w:t>
      </w:r>
      <w:r w:rsidRPr="0085400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of cisplatin IP </w:t>
      </w:r>
      <w:proofErr w:type="gramStart"/>
      <w:r w:rsidRPr="0085400B">
        <w:rPr>
          <w:rFonts w:ascii="Times New Roman" w:eastAsia="Times New Roman" w:hAnsi="Times New Roman" w:cs="Times New Roman"/>
          <w:sz w:val="28"/>
          <w:szCs w:val="28"/>
        </w:rPr>
        <w:t>was</w:t>
      </w:r>
      <w:proofErr w:type="gramEnd"/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associated with lower toxicity and same response when comparing with the use of 80 mg/m</w:t>
      </w:r>
      <w:r w:rsidRPr="0085400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5400B">
        <w:rPr>
          <w:rFonts w:ascii="Times New Roman" w:eastAsia="Times New Roman" w:hAnsi="Times New Roman" w:cs="Times New Roman"/>
          <w:sz w:val="28"/>
          <w:szCs w:val="28"/>
        </w:rPr>
        <w:t xml:space="preserve"> of cisplatin IP and completeness of the cycles was better with the lower dose of IP cisplatin.</w:t>
      </w: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400B" w:rsidRPr="0085400B" w:rsidRDefault="0085400B" w:rsidP="0085400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F431A" w:rsidRPr="002F431A" w:rsidRDefault="002F431A" w:rsidP="002F43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CC2021" w:rsidRDefault="00CC2021"/>
    <w:sectPr w:rsidR="00CC2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31A"/>
    <w:rsid w:val="002F431A"/>
    <w:rsid w:val="0085400B"/>
    <w:rsid w:val="00CC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elagwany</dc:creator>
  <cp:lastModifiedBy>ahmed elagwany</cp:lastModifiedBy>
  <cp:revision>2</cp:revision>
  <dcterms:created xsi:type="dcterms:W3CDTF">2018-11-10T09:51:00Z</dcterms:created>
  <dcterms:modified xsi:type="dcterms:W3CDTF">2018-11-10T09:51:00Z</dcterms:modified>
</cp:coreProperties>
</file>