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D05" w:rsidRPr="004C5158" w:rsidRDefault="00AC3D05" w:rsidP="00AC3D05">
      <w:pPr>
        <w:jc w:val="center"/>
        <w:rPr>
          <w:b/>
          <w:bCs/>
        </w:rPr>
      </w:pPr>
      <w:r w:rsidRPr="004C5158">
        <w:rPr>
          <w:b/>
          <w:bCs/>
        </w:rPr>
        <w:t>Assessment of Nutrition Knowledge, and Dietary Behavior of Post Bariatric Surgery Patients in Rashid Hospital Outpatient Clinic in Dubai, UAE.</w:t>
      </w:r>
    </w:p>
    <w:p w:rsidR="00CF1749" w:rsidRPr="004C5158" w:rsidRDefault="00CF1749" w:rsidP="00AC3D05">
      <w:pPr>
        <w:jc w:val="center"/>
        <w:rPr>
          <w:sz w:val="20"/>
          <w:szCs w:val="20"/>
        </w:rPr>
      </w:pPr>
      <w:r w:rsidRPr="004C5158">
        <w:rPr>
          <w:sz w:val="20"/>
          <w:szCs w:val="20"/>
        </w:rPr>
        <w:t xml:space="preserve">Alia, S.*, Ali, H., </w:t>
      </w:r>
      <w:proofErr w:type="spellStart"/>
      <w:r w:rsidRPr="004C5158">
        <w:rPr>
          <w:sz w:val="20"/>
          <w:szCs w:val="20"/>
        </w:rPr>
        <w:t>Zoubeidi</w:t>
      </w:r>
      <w:proofErr w:type="spellEnd"/>
      <w:r w:rsidRPr="004C5158">
        <w:rPr>
          <w:sz w:val="20"/>
          <w:szCs w:val="20"/>
        </w:rPr>
        <w:t xml:space="preserve">, T., </w:t>
      </w:r>
      <w:proofErr w:type="spellStart"/>
      <w:r w:rsidRPr="004C5158">
        <w:rPr>
          <w:sz w:val="20"/>
          <w:szCs w:val="20"/>
        </w:rPr>
        <w:t>Maqsood</w:t>
      </w:r>
      <w:proofErr w:type="spellEnd"/>
      <w:r w:rsidRPr="004C5158">
        <w:rPr>
          <w:sz w:val="20"/>
          <w:szCs w:val="20"/>
        </w:rPr>
        <w:t>, S., Ali, M.</w:t>
      </w:r>
    </w:p>
    <w:p w:rsidR="00CF1749" w:rsidRPr="004C5158" w:rsidRDefault="00CF1749" w:rsidP="004C5158">
      <w:pPr>
        <w:spacing w:after="0"/>
        <w:jc w:val="both"/>
        <w:rPr>
          <w:rFonts w:asciiTheme="majorBidi" w:hAnsiTheme="majorBidi" w:cstheme="majorBidi"/>
          <w:iCs/>
          <w:sz w:val="20"/>
          <w:szCs w:val="20"/>
        </w:rPr>
      </w:pPr>
      <w:r w:rsidRPr="004C5158">
        <w:rPr>
          <w:rFonts w:asciiTheme="majorBidi" w:hAnsiTheme="majorBidi" w:cstheme="majorBidi"/>
          <w:iCs/>
          <w:sz w:val="20"/>
          <w:szCs w:val="20"/>
          <w:vertAlign w:val="superscript"/>
        </w:rPr>
        <w:t>1</w:t>
      </w:r>
      <w:r w:rsidRPr="004C5158">
        <w:rPr>
          <w:rFonts w:asciiTheme="majorBidi" w:hAnsiTheme="majorBidi" w:cstheme="majorBidi"/>
          <w:iCs/>
          <w:sz w:val="20"/>
          <w:szCs w:val="20"/>
        </w:rPr>
        <w:t>Food Science Department</w:t>
      </w:r>
      <w:r w:rsidRPr="004C5158">
        <w:rPr>
          <w:rFonts w:asciiTheme="majorBidi" w:hAnsiTheme="majorBidi" w:cstheme="majorBidi"/>
          <w:iCs/>
          <w:sz w:val="20"/>
          <w:szCs w:val="20"/>
        </w:rPr>
        <w:t xml:space="preserve">, College of Food and Agriculture, United Arab Emirates University, Al </w:t>
      </w:r>
      <w:proofErr w:type="spellStart"/>
      <w:r w:rsidRPr="004C5158">
        <w:rPr>
          <w:rFonts w:asciiTheme="majorBidi" w:hAnsiTheme="majorBidi" w:cstheme="majorBidi"/>
          <w:iCs/>
          <w:sz w:val="20"/>
          <w:szCs w:val="20"/>
        </w:rPr>
        <w:t>Ain</w:t>
      </w:r>
      <w:proofErr w:type="spellEnd"/>
      <w:r w:rsidRPr="004C5158">
        <w:rPr>
          <w:rFonts w:asciiTheme="majorBidi" w:hAnsiTheme="majorBidi" w:cstheme="majorBidi"/>
          <w:iCs/>
          <w:sz w:val="20"/>
          <w:szCs w:val="20"/>
        </w:rPr>
        <w:t xml:space="preserve">, United Arab Emirates; </w:t>
      </w:r>
      <w:r w:rsidRPr="004C5158">
        <w:rPr>
          <w:rFonts w:asciiTheme="majorBidi" w:hAnsiTheme="majorBidi" w:cstheme="majorBidi"/>
          <w:iCs/>
          <w:sz w:val="20"/>
          <w:szCs w:val="20"/>
          <w:vertAlign w:val="superscript"/>
        </w:rPr>
        <w:t>2</w:t>
      </w:r>
      <w:r w:rsidRPr="004C5158">
        <w:rPr>
          <w:rFonts w:asciiTheme="majorBidi" w:hAnsiTheme="majorBidi" w:cstheme="majorBidi"/>
          <w:iCs/>
          <w:sz w:val="20"/>
          <w:szCs w:val="20"/>
        </w:rPr>
        <w:t>Dubai Healthy Authority (DHA), Rashid Hospital, Dubai</w:t>
      </w:r>
      <w:r w:rsidRPr="004C5158">
        <w:rPr>
          <w:rFonts w:asciiTheme="majorBidi" w:hAnsiTheme="majorBidi" w:cstheme="majorBidi"/>
          <w:iCs/>
          <w:sz w:val="20"/>
          <w:szCs w:val="20"/>
        </w:rPr>
        <w:t>, United Arab Emirates</w:t>
      </w:r>
      <w:r w:rsidRPr="004C5158">
        <w:rPr>
          <w:rFonts w:asciiTheme="majorBidi" w:hAnsiTheme="majorBidi" w:cstheme="majorBidi"/>
          <w:iCs/>
          <w:sz w:val="20"/>
          <w:szCs w:val="20"/>
        </w:rPr>
        <w:t>.</w:t>
      </w:r>
    </w:p>
    <w:p w:rsidR="00AC3D05" w:rsidRPr="004C5158" w:rsidRDefault="00AC3D05" w:rsidP="004C5158">
      <w:pPr>
        <w:rPr>
          <w:b/>
          <w:bCs/>
        </w:rPr>
      </w:pPr>
      <w:r w:rsidRPr="004C5158">
        <w:rPr>
          <w:b/>
          <w:bCs/>
        </w:rPr>
        <w:t>Abstract</w:t>
      </w:r>
      <w:r w:rsidR="00313B73" w:rsidRPr="004C5158">
        <w:rPr>
          <w:rFonts w:asciiTheme="majorBidi" w:hAnsiTheme="majorBidi" w:cstheme="majorBidi"/>
          <w:color w:val="000000" w:themeColor="text1"/>
          <w:sz w:val="20"/>
          <w:szCs w:val="20"/>
        </w:rPr>
        <w:t xml:space="preserve"> </w:t>
      </w:r>
      <w:r w:rsidR="005050DC" w:rsidRPr="004C5158">
        <w:rPr>
          <w:rFonts w:asciiTheme="majorBidi" w:hAnsiTheme="majorBidi" w:cstheme="majorBidi"/>
          <w:color w:val="000000" w:themeColor="text1"/>
          <w:sz w:val="20"/>
          <w:szCs w:val="20"/>
        </w:rPr>
        <w:t>Obesity is considered to be a disease, which stands alone by itself, and it is accompanied by many co-morbidities, and that is why many means to treat obesity comes into account and one of the most prevalent ways in UAE is by bariatric surgery. Despite the vast research assessing nutrition knowledge of patients of several health conditions, none of the papers assessed the nutrition knowledge of patients’ post-bariatric surgeries, although this category of patients is very susceptible to malnutrition post-surgery. My aim in this study was to assess the general nutrition knowledge and the knowledge specific to the dietary protocol post-surgery, the medical and nutritional complications, and their awareness and understanding of dumping syndrome specifically, the clarity of information conveyed by the dietitians and its effect on their levels of compliance of the post-bariatric surgery dietary protocol and the follow up appointments with the dietitians, and finally a small part gave a glimpse of their quality of life post-surgery.</w:t>
      </w:r>
    </w:p>
    <w:p w:rsidR="00AC3D05" w:rsidRPr="004C5158" w:rsidRDefault="00AC3D05" w:rsidP="00597C35">
      <w:pPr>
        <w:spacing w:after="0"/>
        <w:rPr>
          <w:rFonts w:asciiTheme="majorBidi" w:hAnsiTheme="majorBidi" w:cstheme="majorBidi"/>
          <w:color w:val="000000" w:themeColor="text1"/>
          <w:sz w:val="20"/>
          <w:szCs w:val="20"/>
        </w:rPr>
      </w:pPr>
      <w:r w:rsidRPr="004C5158">
        <w:rPr>
          <w:rFonts w:asciiTheme="majorBidi" w:hAnsiTheme="majorBidi" w:cstheme="majorBidi"/>
          <w:color w:val="000000" w:themeColor="text1"/>
          <w:sz w:val="20"/>
          <w:szCs w:val="20"/>
        </w:rPr>
        <w:t xml:space="preserve">     </w:t>
      </w:r>
      <w:r w:rsidR="00313B73" w:rsidRPr="004C5158">
        <w:rPr>
          <w:rFonts w:asciiTheme="majorBidi" w:hAnsiTheme="majorBidi" w:cstheme="majorBidi"/>
          <w:color w:val="000000" w:themeColor="text1"/>
          <w:sz w:val="20"/>
          <w:szCs w:val="20"/>
        </w:rPr>
        <w:t xml:space="preserve">    The methods used to analyze the questionnaire was with the help of SPSS version 23.0. Descriptive statistics such as frequencies, proportions, means, and standard deviations were used. Statistical tests such as Chi-Square test of independence, and Pearson’s correlation were used to test correlation. To test significant differences between values of quantitative variable were used using the statistical test ANOVA or its equivalent non-parametric test named </w:t>
      </w:r>
      <w:proofErr w:type="spellStart"/>
      <w:r w:rsidR="00313B73" w:rsidRPr="004C5158">
        <w:rPr>
          <w:rFonts w:asciiTheme="majorBidi" w:hAnsiTheme="majorBidi" w:cstheme="majorBidi"/>
          <w:color w:val="000000" w:themeColor="text1"/>
          <w:sz w:val="20"/>
          <w:szCs w:val="20"/>
        </w:rPr>
        <w:t>Kruskal</w:t>
      </w:r>
      <w:proofErr w:type="spellEnd"/>
      <w:r w:rsidR="00313B73" w:rsidRPr="004C5158">
        <w:rPr>
          <w:rFonts w:asciiTheme="majorBidi" w:hAnsiTheme="majorBidi" w:cstheme="majorBidi"/>
          <w:color w:val="000000" w:themeColor="text1"/>
          <w:sz w:val="20"/>
          <w:szCs w:val="20"/>
        </w:rPr>
        <w:t>-Wallis. Normality was tested using the Shapiro-</w:t>
      </w:r>
      <w:proofErr w:type="spellStart"/>
      <w:r w:rsidR="00313B73" w:rsidRPr="004C5158">
        <w:rPr>
          <w:rFonts w:asciiTheme="majorBidi" w:hAnsiTheme="majorBidi" w:cstheme="majorBidi"/>
          <w:color w:val="000000" w:themeColor="text1"/>
          <w:sz w:val="20"/>
          <w:szCs w:val="20"/>
        </w:rPr>
        <w:t>Wilk</w:t>
      </w:r>
      <w:proofErr w:type="spellEnd"/>
      <w:r w:rsidR="00313B73" w:rsidRPr="004C5158">
        <w:rPr>
          <w:rFonts w:asciiTheme="majorBidi" w:hAnsiTheme="majorBidi" w:cstheme="majorBidi"/>
          <w:color w:val="000000" w:themeColor="text1"/>
          <w:sz w:val="20"/>
          <w:szCs w:val="20"/>
        </w:rPr>
        <w:t xml:space="preserve"> test, while </w:t>
      </w:r>
      <w:proofErr w:type="spellStart"/>
      <w:r w:rsidR="00313B73" w:rsidRPr="004C5158">
        <w:rPr>
          <w:rFonts w:asciiTheme="majorBidi" w:hAnsiTheme="majorBidi" w:cstheme="majorBidi"/>
          <w:color w:val="000000" w:themeColor="text1"/>
          <w:sz w:val="20"/>
          <w:szCs w:val="20"/>
        </w:rPr>
        <w:t>Levene’s</w:t>
      </w:r>
      <w:proofErr w:type="spellEnd"/>
      <w:r w:rsidR="00313B73" w:rsidRPr="004C5158">
        <w:rPr>
          <w:rFonts w:asciiTheme="majorBidi" w:hAnsiTheme="majorBidi" w:cstheme="majorBidi"/>
          <w:color w:val="000000" w:themeColor="text1"/>
          <w:sz w:val="20"/>
          <w:szCs w:val="20"/>
        </w:rPr>
        <w:t xml:space="preserve"> test was used to test the equality of variance. </w:t>
      </w:r>
    </w:p>
    <w:p w:rsidR="005050DC" w:rsidRPr="004C5158" w:rsidRDefault="00313B73" w:rsidP="00CF1749">
      <w:pPr>
        <w:spacing w:after="0"/>
        <w:rPr>
          <w:rFonts w:asciiTheme="majorBidi" w:hAnsiTheme="majorBidi" w:cstheme="majorBidi"/>
          <w:b/>
          <w:bCs/>
          <w:color w:val="C00000"/>
          <w:sz w:val="20"/>
          <w:szCs w:val="20"/>
        </w:rPr>
      </w:pPr>
      <w:r w:rsidRPr="004C5158">
        <w:rPr>
          <w:rFonts w:asciiTheme="majorBidi" w:hAnsiTheme="majorBidi" w:cstheme="majorBidi"/>
          <w:color w:val="000000" w:themeColor="text1"/>
          <w:sz w:val="20"/>
          <w:szCs w:val="20"/>
        </w:rPr>
        <w:t xml:space="preserve">   </w:t>
      </w:r>
      <w:r w:rsidR="00AC3D05" w:rsidRPr="004C5158">
        <w:rPr>
          <w:rFonts w:asciiTheme="majorBidi" w:hAnsiTheme="majorBidi" w:cstheme="majorBidi"/>
          <w:color w:val="000000" w:themeColor="text1"/>
          <w:sz w:val="20"/>
          <w:szCs w:val="20"/>
        </w:rPr>
        <w:t xml:space="preserve">    </w:t>
      </w:r>
      <w:r w:rsidRPr="004C5158">
        <w:rPr>
          <w:rFonts w:asciiTheme="majorBidi" w:hAnsiTheme="majorBidi" w:cstheme="majorBidi"/>
          <w:color w:val="000000" w:themeColor="text1"/>
          <w:sz w:val="20"/>
          <w:szCs w:val="20"/>
        </w:rPr>
        <w:t xml:space="preserve">   </w:t>
      </w:r>
      <w:r w:rsidR="005050DC" w:rsidRPr="004C5158">
        <w:rPr>
          <w:rFonts w:asciiTheme="majorBidi" w:hAnsiTheme="majorBidi" w:cstheme="majorBidi"/>
          <w:color w:val="000000" w:themeColor="text1"/>
          <w:sz w:val="20"/>
          <w:szCs w:val="20"/>
        </w:rPr>
        <w:t xml:space="preserve"> The results of this study showed a fairly good general nutrition knowledge of both groups, the questions assessing nutrition knowledge of the</w:t>
      </w:r>
      <w:r w:rsidR="00F04279" w:rsidRPr="004C5158">
        <w:rPr>
          <w:rFonts w:asciiTheme="majorBidi" w:hAnsiTheme="majorBidi" w:cstheme="majorBidi"/>
          <w:color w:val="000000" w:themeColor="text1"/>
          <w:sz w:val="20"/>
          <w:szCs w:val="20"/>
        </w:rPr>
        <w:t xml:space="preserve"> dietary</w:t>
      </w:r>
      <w:r w:rsidR="005050DC" w:rsidRPr="004C5158">
        <w:rPr>
          <w:rFonts w:asciiTheme="majorBidi" w:hAnsiTheme="majorBidi" w:cstheme="majorBidi"/>
          <w:color w:val="000000" w:themeColor="text1"/>
          <w:sz w:val="20"/>
          <w:szCs w:val="20"/>
        </w:rPr>
        <w:t xml:space="preserve"> protocol post-surgery were </w:t>
      </w:r>
      <w:r w:rsidR="00F04279" w:rsidRPr="004C5158">
        <w:rPr>
          <w:rFonts w:asciiTheme="majorBidi" w:hAnsiTheme="majorBidi" w:cstheme="majorBidi"/>
          <w:color w:val="000000" w:themeColor="text1"/>
          <w:sz w:val="20"/>
          <w:szCs w:val="20"/>
        </w:rPr>
        <w:t>added up</w:t>
      </w:r>
      <w:r w:rsidR="005050DC" w:rsidRPr="004C5158">
        <w:rPr>
          <w:rFonts w:asciiTheme="majorBidi" w:hAnsiTheme="majorBidi" w:cstheme="majorBidi"/>
          <w:color w:val="000000" w:themeColor="text1"/>
          <w:sz w:val="20"/>
          <w:szCs w:val="20"/>
        </w:rPr>
        <w:t xml:space="preserve"> and given a score out of 14, in which it showed that only 19.4% of participants had very good knowledge, 66.2% had average knowledge, and 14.4% had poor k</w:t>
      </w:r>
      <w:r w:rsidR="00CF1749" w:rsidRPr="004C5158">
        <w:rPr>
          <w:rFonts w:asciiTheme="majorBidi" w:hAnsiTheme="majorBidi" w:cstheme="majorBidi"/>
          <w:color w:val="000000" w:themeColor="text1"/>
          <w:sz w:val="20"/>
          <w:szCs w:val="20"/>
        </w:rPr>
        <w:t>nowledge</w:t>
      </w:r>
      <w:r w:rsidR="005050DC" w:rsidRPr="004C5158">
        <w:rPr>
          <w:rFonts w:asciiTheme="majorBidi" w:hAnsiTheme="majorBidi" w:cstheme="majorBidi"/>
          <w:color w:val="000000" w:themeColor="text1"/>
          <w:sz w:val="20"/>
          <w:szCs w:val="20"/>
        </w:rPr>
        <w:t xml:space="preserve">. </w:t>
      </w:r>
      <w:r w:rsidR="005F3269" w:rsidRPr="004C5158">
        <w:rPr>
          <w:rFonts w:asciiTheme="majorBidi" w:hAnsiTheme="majorBidi" w:cstheme="majorBidi"/>
          <w:color w:val="000000" w:themeColor="text1"/>
          <w:sz w:val="20"/>
          <w:szCs w:val="20"/>
        </w:rPr>
        <w:t>In addition, most patients didn’t know what dumping syndrome is, and of those who knew what it is 66.6% of them knew the food that promote its occurrence, and almost half of the participants who answered yes knew the symptoms of it. On the other hand, 79.5% of the patients followed up with a dietitian, and only 30.1% showed compliance to the dietitian’s instructions, which was strongly related to patients finding the information conveyed vague and unclear as 71.2% considered it as aforementioned. However, the most experienced symptom post-bariatric surgeries was nausea, followed by dizziness, dehydration, and finally vomiting. As for the overall quality of life of participants</w:t>
      </w:r>
      <w:r w:rsidR="00AD3C29" w:rsidRPr="004C5158">
        <w:rPr>
          <w:rFonts w:asciiTheme="majorBidi" w:hAnsiTheme="majorBidi" w:cstheme="majorBidi"/>
          <w:color w:val="000000" w:themeColor="text1"/>
          <w:sz w:val="20"/>
          <w:szCs w:val="20"/>
        </w:rPr>
        <w:t xml:space="preserve"> the highest percentage</w:t>
      </w:r>
      <w:r w:rsidR="005F3269" w:rsidRPr="004C5158">
        <w:rPr>
          <w:rFonts w:asciiTheme="majorBidi" w:hAnsiTheme="majorBidi" w:cstheme="majorBidi"/>
          <w:color w:val="000000" w:themeColor="text1"/>
          <w:sz w:val="20"/>
          <w:szCs w:val="20"/>
        </w:rPr>
        <w:t xml:space="preserve"> 45.8% </w:t>
      </w:r>
      <w:r w:rsidR="00AD3C29" w:rsidRPr="004C5158">
        <w:rPr>
          <w:rFonts w:asciiTheme="majorBidi" w:hAnsiTheme="majorBidi" w:cstheme="majorBidi"/>
          <w:color w:val="000000" w:themeColor="text1"/>
          <w:sz w:val="20"/>
          <w:szCs w:val="20"/>
        </w:rPr>
        <w:t xml:space="preserve">was given to </w:t>
      </w:r>
      <w:r w:rsidR="005F3269" w:rsidRPr="004C5158">
        <w:rPr>
          <w:rFonts w:asciiTheme="majorBidi" w:hAnsiTheme="majorBidi" w:cstheme="majorBidi"/>
          <w:color w:val="000000" w:themeColor="text1"/>
          <w:sz w:val="20"/>
          <w:szCs w:val="20"/>
        </w:rPr>
        <w:t xml:space="preserve">participants </w:t>
      </w:r>
      <w:r w:rsidR="00AD3C29" w:rsidRPr="004C5158">
        <w:rPr>
          <w:rFonts w:asciiTheme="majorBidi" w:hAnsiTheme="majorBidi" w:cstheme="majorBidi"/>
          <w:color w:val="000000" w:themeColor="text1"/>
          <w:sz w:val="20"/>
          <w:szCs w:val="20"/>
        </w:rPr>
        <w:t xml:space="preserve">who </w:t>
      </w:r>
      <w:r w:rsidR="005F3269" w:rsidRPr="004C5158">
        <w:rPr>
          <w:rFonts w:asciiTheme="majorBidi" w:hAnsiTheme="majorBidi" w:cstheme="majorBidi"/>
          <w:color w:val="000000" w:themeColor="text1"/>
          <w:sz w:val="20"/>
          <w:szCs w:val="20"/>
        </w:rPr>
        <w:t xml:space="preserve">never felt agitated, fatigued and/or regretted their decision of getting operated, and as much as 83.1% found their daily activities to be more enjoyable. </w:t>
      </w:r>
      <w:r w:rsidR="00CF1749" w:rsidRPr="004C5158">
        <w:rPr>
          <w:rFonts w:asciiTheme="majorBidi" w:hAnsiTheme="majorBidi" w:cstheme="majorBidi"/>
          <w:color w:val="000000" w:themeColor="text1"/>
          <w:sz w:val="20"/>
          <w:szCs w:val="20"/>
        </w:rPr>
        <w:t xml:space="preserve">In conclusion, patients who undergo bariatric surgeries are a great area of improvement now that we can spot some gaps in the health care provided. </w:t>
      </w:r>
    </w:p>
    <w:p w:rsidR="00523C50" w:rsidRDefault="004C5158">
      <w:pPr>
        <w:rPr>
          <w:b/>
          <w:bCs/>
          <w:sz w:val="32"/>
          <w:szCs w:val="32"/>
        </w:rPr>
      </w:pPr>
      <w:r w:rsidRPr="004C5158">
        <w:rPr>
          <w:b/>
          <w:bCs/>
          <w:noProof/>
          <w:sz w:val="32"/>
          <w:szCs w:val="32"/>
        </w:rPr>
        <w:drawing>
          <wp:inline distT="0" distB="0" distL="0" distR="0">
            <wp:extent cx="714375" cy="920028"/>
            <wp:effectExtent l="0" t="0" r="0" b="0"/>
            <wp:docPr id="1" name="Picture 1" descr="C:\Users\souhi\Desktop\laptop backup\photos\studio fotos\0500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uhi\Desktop\laptop backup\photos\studio fotos\050043-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1808" cy="929601"/>
                    </a:xfrm>
                    <a:prstGeom prst="rect">
                      <a:avLst/>
                    </a:prstGeom>
                    <a:noFill/>
                    <a:ln>
                      <a:noFill/>
                    </a:ln>
                  </pic:spPr>
                </pic:pic>
              </a:graphicData>
            </a:graphic>
          </wp:inline>
        </w:drawing>
      </w:r>
      <w:r>
        <w:rPr>
          <w:b/>
          <w:bCs/>
          <w:sz w:val="32"/>
          <w:szCs w:val="32"/>
        </w:rPr>
        <w:t xml:space="preserve">                     </w:t>
      </w:r>
      <w:r w:rsidR="00597C35" w:rsidRPr="00597C35">
        <w:rPr>
          <w:b/>
          <w:bCs/>
          <w:sz w:val="32"/>
          <w:szCs w:val="32"/>
        </w:rPr>
        <w:t>Bibliography</w:t>
      </w:r>
    </w:p>
    <w:p w:rsidR="00597C35" w:rsidRPr="004C5158" w:rsidRDefault="00597C35">
      <w:pPr>
        <w:rPr>
          <w:rFonts w:asciiTheme="majorBidi" w:hAnsiTheme="majorBidi" w:cstheme="majorBidi"/>
          <w:color w:val="000000" w:themeColor="text1"/>
          <w:sz w:val="20"/>
          <w:szCs w:val="20"/>
        </w:rPr>
      </w:pPr>
      <w:proofErr w:type="spellStart"/>
      <w:r w:rsidRPr="004C5158">
        <w:rPr>
          <w:rFonts w:asciiTheme="majorBidi" w:hAnsiTheme="majorBidi" w:cstheme="majorBidi"/>
          <w:color w:val="000000" w:themeColor="text1"/>
          <w:sz w:val="20"/>
          <w:szCs w:val="20"/>
        </w:rPr>
        <w:t>Souheir</w:t>
      </w:r>
      <w:proofErr w:type="spellEnd"/>
      <w:r w:rsidRPr="004C5158">
        <w:rPr>
          <w:rFonts w:asciiTheme="majorBidi" w:hAnsiTheme="majorBidi" w:cstheme="majorBidi"/>
          <w:color w:val="000000" w:themeColor="text1"/>
          <w:sz w:val="20"/>
          <w:szCs w:val="20"/>
        </w:rPr>
        <w:t xml:space="preserve"> Alia, has her expertise in health education and promotion in both community setting as well as hospital setting, and works as a clinical dietitian in Rashid Hospital, DHA, in the city if Dubai, in UAE, and is in the process of finishing the requirement to finish her masters’ degree in food science, and her thesis being research based focusing on patients post bariatric surgery dietary protocol. </w:t>
      </w:r>
    </w:p>
    <w:p w:rsidR="00597C35" w:rsidRDefault="004C5158">
      <w:pPr>
        <w:rPr>
          <w:rFonts w:asciiTheme="majorBidi" w:hAnsiTheme="majorBidi" w:cstheme="majorBidi"/>
          <w:b/>
          <w:bCs/>
          <w:color w:val="000000" w:themeColor="text1"/>
        </w:rPr>
      </w:pPr>
      <w:r w:rsidRPr="004C5158">
        <w:rPr>
          <w:rFonts w:asciiTheme="majorBidi" w:hAnsiTheme="majorBidi" w:cstheme="majorBidi"/>
          <w:b/>
          <w:bCs/>
          <w:color w:val="000000" w:themeColor="text1"/>
        </w:rPr>
        <w:t>Recent Publication:</w:t>
      </w:r>
    </w:p>
    <w:p w:rsidR="004C5158" w:rsidRPr="004C5158" w:rsidRDefault="004C5158" w:rsidP="004C5158">
      <w:pPr>
        <w:rPr>
          <w:rFonts w:asciiTheme="majorBidi" w:hAnsiTheme="majorBidi" w:cstheme="majorBidi"/>
          <w:color w:val="000000" w:themeColor="text1"/>
          <w:sz w:val="20"/>
          <w:szCs w:val="20"/>
        </w:rPr>
      </w:pPr>
      <w:proofErr w:type="spellStart"/>
      <w:r w:rsidRPr="004C5158">
        <w:rPr>
          <w:rFonts w:asciiTheme="majorBidi" w:hAnsiTheme="majorBidi" w:cstheme="majorBidi"/>
          <w:color w:val="000000" w:themeColor="text1"/>
          <w:sz w:val="20"/>
          <w:szCs w:val="20"/>
        </w:rPr>
        <w:t>Attle</w:t>
      </w:r>
      <w:proofErr w:type="spellEnd"/>
      <w:r w:rsidRPr="004C5158">
        <w:rPr>
          <w:rFonts w:asciiTheme="majorBidi" w:hAnsiTheme="majorBidi" w:cstheme="majorBidi"/>
          <w:color w:val="000000" w:themeColor="text1"/>
          <w:sz w:val="20"/>
          <w:szCs w:val="20"/>
        </w:rPr>
        <w:t xml:space="preserve">, A, </w:t>
      </w:r>
      <w:proofErr w:type="spellStart"/>
      <w:r w:rsidRPr="004C5158">
        <w:rPr>
          <w:rFonts w:asciiTheme="majorBidi" w:hAnsiTheme="majorBidi" w:cstheme="majorBidi"/>
          <w:color w:val="000000" w:themeColor="text1"/>
          <w:sz w:val="20"/>
          <w:szCs w:val="20"/>
        </w:rPr>
        <w:t>Kassem</w:t>
      </w:r>
      <w:proofErr w:type="spellEnd"/>
      <w:r w:rsidRPr="004C5158">
        <w:rPr>
          <w:rFonts w:asciiTheme="majorBidi" w:hAnsiTheme="majorBidi" w:cstheme="majorBidi"/>
          <w:color w:val="000000" w:themeColor="text1"/>
          <w:sz w:val="20"/>
          <w:szCs w:val="20"/>
        </w:rPr>
        <w:t xml:space="preserve">, H., </w:t>
      </w:r>
      <w:proofErr w:type="spellStart"/>
      <w:r w:rsidRPr="004C5158">
        <w:rPr>
          <w:rFonts w:asciiTheme="majorBidi" w:hAnsiTheme="majorBidi" w:cstheme="majorBidi"/>
          <w:color w:val="000000" w:themeColor="text1"/>
          <w:sz w:val="20"/>
          <w:szCs w:val="20"/>
        </w:rPr>
        <w:t>Hashim</w:t>
      </w:r>
      <w:proofErr w:type="spellEnd"/>
      <w:r w:rsidRPr="004C5158">
        <w:rPr>
          <w:rFonts w:asciiTheme="majorBidi" w:hAnsiTheme="majorBidi" w:cstheme="majorBidi"/>
          <w:color w:val="000000" w:themeColor="text1"/>
          <w:sz w:val="20"/>
          <w:szCs w:val="20"/>
        </w:rPr>
        <w:t xml:space="preserve"> M., </w:t>
      </w:r>
      <w:proofErr w:type="spellStart"/>
      <w:r w:rsidRPr="004C5158">
        <w:rPr>
          <w:rFonts w:asciiTheme="majorBidi" w:hAnsiTheme="majorBidi" w:cstheme="majorBidi"/>
          <w:color w:val="000000" w:themeColor="text1"/>
          <w:sz w:val="20"/>
          <w:szCs w:val="20"/>
        </w:rPr>
        <w:t>Obaid</w:t>
      </w:r>
      <w:proofErr w:type="spellEnd"/>
      <w:r w:rsidRPr="004C5158">
        <w:rPr>
          <w:rFonts w:asciiTheme="majorBidi" w:hAnsiTheme="majorBidi" w:cstheme="majorBidi"/>
          <w:color w:val="000000" w:themeColor="text1"/>
          <w:sz w:val="20"/>
          <w:szCs w:val="20"/>
        </w:rPr>
        <w:t xml:space="preserve">, R., 2015. </w:t>
      </w:r>
      <w:r w:rsidRPr="004C5158">
        <w:rPr>
          <w:rFonts w:asciiTheme="majorBidi" w:hAnsiTheme="majorBidi" w:cstheme="majorBidi"/>
          <w:color w:val="000000" w:themeColor="text1"/>
          <w:sz w:val="20"/>
          <w:szCs w:val="20"/>
        </w:rPr>
        <w:t>Physical</w:t>
      </w:r>
      <w:r w:rsidRPr="004C5158">
        <w:rPr>
          <w:rFonts w:asciiTheme="majorBidi" w:hAnsiTheme="majorBidi" w:cstheme="majorBidi"/>
          <w:color w:val="000000" w:themeColor="text1"/>
          <w:sz w:val="20"/>
          <w:szCs w:val="20"/>
        </w:rPr>
        <w:t xml:space="preserve"> Growth, Feeding </w:t>
      </w:r>
      <w:proofErr w:type="spellStart"/>
      <w:r w:rsidRPr="004C5158">
        <w:rPr>
          <w:rFonts w:asciiTheme="majorBidi" w:hAnsiTheme="majorBidi" w:cstheme="majorBidi"/>
          <w:color w:val="000000" w:themeColor="text1"/>
          <w:sz w:val="20"/>
          <w:szCs w:val="20"/>
        </w:rPr>
        <w:t>Behaviour</w:t>
      </w:r>
      <w:proofErr w:type="spellEnd"/>
      <w:r w:rsidRPr="004C5158">
        <w:rPr>
          <w:rFonts w:asciiTheme="majorBidi" w:hAnsiTheme="majorBidi" w:cstheme="majorBidi"/>
          <w:color w:val="000000" w:themeColor="text1"/>
          <w:sz w:val="20"/>
          <w:szCs w:val="20"/>
        </w:rPr>
        <w:t xml:space="preserve">, and </w:t>
      </w:r>
      <w:r w:rsidRPr="004C5158">
        <w:rPr>
          <w:rFonts w:asciiTheme="majorBidi" w:hAnsiTheme="majorBidi" w:cstheme="majorBidi"/>
          <w:color w:val="000000" w:themeColor="text1"/>
          <w:sz w:val="20"/>
          <w:szCs w:val="20"/>
        </w:rPr>
        <w:t>Dietary Intake among Autistic Children in Sharjah</w:t>
      </w:r>
      <w:r>
        <w:rPr>
          <w:rFonts w:asciiTheme="majorBidi" w:hAnsiTheme="majorBidi" w:cstheme="majorBidi"/>
          <w:color w:val="000000" w:themeColor="text1"/>
          <w:sz w:val="20"/>
          <w:szCs w:val="20"/>
        </w:rPr>
        <w:t>.</w:t>
      </w:r>
      <w:r w:rsidRPr="004C5158">
        <w:rPr>
          <w:rFonts w:asciiTheme="majorBidi" w:hAnsiTheme="majorBidi" w:cstheme="majorBidi"/>
          <w:color w:val="000000" w:themeColor="text1"/>
          <w:sz w:val="20"/>
          <w:szCs w:val="20"/>
        </w:rPr>
        <w:t xml:space="preserve"> </w:t>
      </w:r>
      <w:hyperlink r:id="rId6" w:tooltip="The Indian Journal of Pediatrics" w:history="1">
        <w:r w:rsidRPr="004C5158">
          <w:rPr>
            <w:rFonts w:asciiTheme="majorBidi" w:hAnsiTheme="majorBidi" w:cstheme="majorBidi"/>
            <w:i/>
            <w:iCs/>
            <w:color w:val="000000" w:themeColor="text1"/>
            <w:sz w:val="20"/>
            <w:szCs w:val="20"/>
          </w:rPr>
          <w:t>The Indian Journal of Pediatrics</w:t>
        </w:r>
      </w:hyperlink>
      <w:r w:rsidRPr="004C5158">
        <w:rPr>
          <w:rFonts w:asciiTheme="majorBidi" w:hAnsiTheme="majorBidi" w:cstheme="majorBidi"/>
          <w:color w:val="000000" w:themeColor="text1"/>
          <w:sz w:val="20"/>
          <w:szCs w:val="20"/>
        </w:rPr>
        <w:t>, Volume 82, </w:t>
      </w:r>
      <w:hyperlink r:id="rId7" w:history="1">
        <w:r w:rsidRPr="004C5158">
          <w:rPr>
            <w:rFonts w:asciiTheme="majorBidi" w:hAnsiTheme="majorBidi" w:cstheme="majorBidi"/>
            <w:color w:val="000000" w:themeColor="text1"/>
            <w:sz w:val="20"/>
            <w:szCs w:val="20"/>
          </w:rPr>
          <w:t>Issue 8</w:t>
        </w:r>
      </w:hyperlink>
      <w:r w:rsidRPr="004C5158">
        <w:rPr>
          <w:rFonts w:asciiTheme="majorBidi" w:hAnsiTheme="majorBidi" w:cstheme="majorBidi"/>
          <w:color w:val="000000" w:themeColor="text1"/>
          <w:sz w:val="20"/>
          <w:szCs w:val="20"/>
        </w:rPr>
        <w:t>, </w:t>
      </w:r>
      <w:proofErr w:type="spellStart"/>
      <w:r w:rsidRPr="004C5158">
        <w:rPr>
          <w:rFonts w:asciiTheme="majorBidi" w:hAnsiTheme="majorBidi" w:cstheme="majorBidi"/>
          <w:color w:val="000000" w:themeColor="text1"/>
          <w:sz w:val="20"/>
          <w:szCs w:val="20"/>
        </w:rPr>
        <w:t>pp</w:t>
      </w:r>
      <w:proofErr w:type="spellEnd"/>
      <w:r w:rsidRPr="004C5158">
        <w:rPr>
          <w:rFonts w:asciiTheme="majorBidi" w:hAnsiTheme="majorBidi" w:cstheme="majorBidi"/>
          <w:color w:val="000000" w:themeColor="text1"/>
          <w:sz w:val="20"/>
          <w:szCs w:val="20"/>
        </w:rPr>
        <w:t xml:space="preserve"> 682–687</w:t>
      </w:r>
      <w:r>
        <w:rPr>
          <w:rFonts w:asciiTheme="majorBidi" w:hAnsiTheme="majorBidi" w:cstheme="majorBidi"/>
          <w:color w:val="000000" w:themeColor="text1"/>
          <w:sz w:val="20"/>
          <w:szCs w:val="20"/>
        </w:rPr>
        <w:t>.</w:t>
      </w:r>
      <w:r w:rsidR="009C7ACD">
        <w:rPr>
          <w:rFonts w:asciiTheme="majorBidi" w:hAnsiTheme="majorBidi" w:cstheme="majorBidi"/>
          <w:color w:val="000000" w:themeColor="text1"/>
          <w:sz w:val="20"/>
          <w:szCs w:val="20"/>
        </w:rPr>
        <w:t xml:space="preserve"> (I was mentioned in the acknowledgement).</w:t>
      </w:r>
      <w:bookmarkStart w:id="0" w:name="_GoBack"/>
      <w:bookmarkEnd w:id="0"/>
    </w:p>
    <w:sectPr w:rsidR="004C5158" w:rsidRPr="004C5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A5265"/>
    <w:multiLevelType w:val="hybridMultilevel"/>
    <w:tmpl w:val="8F262EC2"/>
    <w:lvl w:ilvl="0" w:tplc="281E50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812526"/>
    <w:multiLevelType w:val="multilevel"/>
    <w:tmpl w:val="BF70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0DC"/>
    <w:rsid w:val="00313B73"/>
    <w:rsid w:val="004C5158"/>
    <w:rsid w:val="005050DC"/>
    <w:rsid w:val="00523C50"/>
    <w:rsid w:val="00597C35"/>
    <w:rsid w:val="005F3269"/>
    <w:rsid w:val="009C7ACD"/>
    <w:rsid w:val="00AC3D05"/>
    <w:rsid w:val="00AD3C29"/>
    <w:rsid w:val="00CF1749"/>
    <w:rsid w:val="00F042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8A67B-6424-4F27-95FD-4433A78F2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0DC"/>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158"/>
    <w:pPr>
      <w:ind w:left="720"/>
      <w:contextualSpacing/>
    </w:pPr>
  </w:style>
  <w:style w:type="character" w:customStyle="1" w:styleId="journaltitle">
    <w:name w:val="journaltitle"/>
    <w:basedOn w:val="DefaultParagraphFont"/>
    <w:rsid w:val="004C5158"/>
  </w:style>
  <w:style w:type="character" w:customStyle="1" w:styleId="articlecitationvolume">
    <w:name w:val="articlecitation_volume"/>
    <w:basedOn w:val="DefaultParagraphFont"/>
    <w:rsid w:val="004C5158"/>
  </w:style>
  <w:style w:type="character" w:styleId="Hyperlink">
    <w:name w:val="Hyperlink"/>
    <w:basedOn w:val="DefaultParagraphFont"/>
    <w:uiPriority w:val="99"/>
    <w:semiHidden/>
    <w:unhideWhenUsed/>
    <w:rsid w:val="004C5158"/>
    <w:rPr>
      <w:color w:val="0000FF"/>
      <w:u w:val="single"/>
    </w:rPr>
  </w:style>
  <w:style w:type="character" w:customStyle="1" w:styleId="articlecitationpages">
    <w:name w:val="articlecitation_pages"/>
    <w:basedOn w:val="DefaultParagraphFont"/>
    <w:rsid w:val="004C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59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journal/12098/82/8/page/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journal/12098"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Souheir Alia</dc:creator>
  <cp:keywords/>
  <dc:description/>
  <cp:lastModifiedBy>Souheir Alia</cp:lastModifiedBy>
  <cp:revision>7</cp:revision>
  <dcterms:created xsi:type="dcterms:W3CDTF">2017-11-05T13:22:00Z</dcterms:created>
  <dcterms:modified xsi:type="dcterms:W3CDTF">2017-11-05T14:31:00Z</dcterms:modified>
</cp:coreProperties>
</file>