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6B4312" w14:textId="77777777" w:rsidR="00AE3E37" w:rsidRDefault="00A9710C" w:rsidP="00494130">
      <w:pPr>
        <w:pStyle w:val="Heading1"/>
        <w:spacing w:before="170"/>
        <w:ind w:left="0"/>
      </w:pPr>
      <w:r>
        <w:rPr>
          <w:color w:val="337AB7"/>
        </w:rPr>
        <w:t>W</w:t>
      </w:r>
      <w:r w:rsidR="00567C94">
        <w:rPr>
          <w:color w:val="337AB7"/>
        </w:rPr>
        <w:t xml:space="preserve">hat influences consumers to make the healthy purchase? </w:t>
      </w:r>
    </w:p>
    <w:p w14:paraId="55F8D42B" w14:textId="77777777" w:rsidR="005973B9" w:rsidRDefault="00567C94" w:rsidP="005973B9">
      <w:pPr>
        <w:pStyle w:val="BodyText"/>
        <w:spacing w:before="73" w:line="198" w:lineRule="exact"/>
        <w:ind w:left="100" w:right="5987"/>
        <w:rPr>
          <w:rFonts w:ascii="Arial"/>
        </w:rPr>
      </w:pPr>
      <w:r>
        <w:rPr>
          <w:rFonts w:ascii="Arial"/>
        </w:rPr>
        <w:t>Julie Meyer, RDN, Eat Well Global USA</w:t>
      </w:r>
    </w:p>
    <w:p w14:paraId="45F04C2A" w14:textId="77777777" w:rsidR="00AE3E37" w:rsidRDefault="00AE3E37">
      <w:pPr>
        <w:pStyle w:val="BodyText"/>
        <w:rPr>
          <w:rFonts w:ascii="Arial"/>
          <w:sz w:val="20"/>
        </w:rPr>
      </w:pPr>
    </w:p>
    <w:p w14:paraId="2EA6B93B" w14:textId="77777777" w:rsidR="00AE3E37" w:rsidRDefault="00AE3E37">
      <w:pPr>
        <w:pStyle w:val="BodyText"/>
        <w:spacing w:before="3"/>
        <w:rPr>
          <w:rFonts w:ascii="Arial"/>
          <w:sz w:val="21"/>
        </w:rPr>
      </w:pPr>
    </w:p>
    <w:p w14:paraId="4D1CDB55"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67172FFB"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7F98A3CB" w14:textId="77777777" w:rsidR="00567C94" w:rsidRPr="00567C94" w:rsidRDefault="00567C94" w:rsidP="00567C94">
      <w:pPr>
        <w:pStyle w:val="Heading3"/>
        <w:spacing w:before="74"/>
        <w:rPr>
          <w:b w:val="0"/>
          <w:sz w:val="18"/>
          <w:szCs w:val="18"/>
        </w:rPr>
      </w:pPr>
      <w:r w:rsidRPr="00567C94">
        <w:rPr>
          <w:b w:val="0"/>
          <w:sz w:val="18"/>
          <w:szCs w:val="18"/>
        </w:rPr>
        <w:t>With more than 70% of the US population reporting they are “actively trying to get healthier,” more consumers are making their own choices on what they consider healthy products.  Whether they are looking for a yogurt with less sugar and more probiotics to support their gut health or choosing a day-care center for their child with fresh, healthy food, consumers make scores of daily decisions about where to spend their money around health and wellness.  As consumers take their health into their own hands, we know there are multiple influences that impact these decisions.  Some consumers get their most useful information from credentialed influencers like dietitians, doctors or their personal trainer, some from neighbors and social groups, and some from the companies themselves, as they make commitments in the health &amp; nutrition space.  </w:t>
      </w:r>
      <w:r>
        <w:rPr>
          <w:b w:val="0"/>
          <w:sz w:val="18"/>
          <w:szCs w:val="18"/>
        </w:rPr>
        <w:t xml:space="preserve">Using primary research on </w:t>
      </w:r>
      <w:r w:rsidRPr="00567C94">
        <w:rPr>
          <w:b w:val="0"/>
          <w:sz w:val="18"/>
          <w:szCs w:val="18"/>
        </w:rPr>
        <w:t>consumers’ “health + wellness shopper journey,” as well as secondary research on consumer trends, social media influences and the power of online retail, we will paint a picture of who and what are influencing American consumers to “make the healthy choice” and what organizations can do to best position themselves on the consumer’s path-to-purchase.  This session provides credible, important information for the private sector to better understand how they can benefit from all the voices encouraging consumers to make the healthy choice the easy choice –from celebrities to health professionals to social media stars to companies themselves.   By having a clearer roadmap about these inter</w:t>
      </w:r>
      <w:r>
        <w:rPr>
          <w:b w:val="0"/>
          <w:sz w:val="18"/>
          <w:szCs w:val="18"/>
        </w:rPr>
        <w:t>actions of influence impacting</w:t>
      </w:r>
      <w:r w:rsidRPr="00567C94">
        <w:rPr>
          <w:b w:val="0"/>
          <w:sz w:val="18"/>
          <w:szCs w:val="18"/>
        </w:rPr>
        <w:t xml:space="preserve"> health + wellness purchase decisions, companies they can garner best practices to attract consumer attention and increase engagement. </w:t>
      </w:r>
    </w:p>
    <w:p w14:paraId="1DD0AD5E" w14:textId="77777777" w:rsidR="00567C94" w:rsidRPr="00567C94" w:rsidRDefault="00567C94" w:rsidP="00567C94">
      <w:pPr>
        <w:pStyle w:val="Heading3"/>
        <w:spacing w:before="74"/>
        <w:rPr>
          <w:sz w:val="18"/>
          <w:szCs w:val="18"/>
        </w:rPr>
      </w:pPr>
    </w:p>
    <w:p w14:paraId="6997A41F" w14:textId="77777777" w:rsidR="00AE3E37" w:rsidRDefault="00A9710C">
      <w:pPr>
        <w:pStyle w:val="Heading3"/>
        <w:spacing w:before="74"/>
      </w:pPr>
      <w:bookmarkStart w:id="0" w:name="_GoBack"/>
      <w:bookmarkEnd w:id="0"/>
      <w:r>
        <w:rPr>
          <w:b w:val="0"/>
        </w:rPr>
        <w:br w:type="column"/>
      </w:r>
      <w:r>
        <w:rPr>
          <w:color w:val="BF5A14"/>
        </w:rPr>
        <w:lastRenderedPageBreak/>
        <w:t>Image</w:t>
      </w:r>
    </w:p>
    <w:p w14:paraId="79802335" w14:textId="77777777" w:rsidR="00AE3E37" w:rsidRDefault="00AE3E37">
      <w:pPr>
        <w:pStyle w:val="BodyText"/>
        <w:spacing w:before="2"/>
        <w:rPr>
          <w:rFonts w:ascii="Arial"/>
          <w:b/>
          <w:sz w:val="16"/>
        </w:rPr>
      </w:pPr>
    </w:p>
    <w:p w14:paraId="43D3A25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2906ACDB" w14:textId="77777777" w:rsidR="005973B9" w:rsidRDefault="00567C94" w:rsidP="005973B9">
      <w:pPr>
        <w:pStyle w:val="ListParagraph"/>
        <w:numPr>
          <w:ilvl w:val="0"/>
          <w:numId w:val="3"/>
        </w:numPr>
        <w:tabs>
          <w:tab w:val="left" w:pos="384"/>
        </w:tabs>
        <w:spacing w:before="103" w:line="216" w:lineRule="exact"/>
        <w:ind w:right="138" w:hanging="283"/>
        <w:rPr>
          <w:sz w:val="18"/>
        </w:rPr>
      </w:pPr>
      <w:r>
        <w:rPr>
          <w:sz w:val="18"/>
        </w:rPr>
        <w:t>Nielsen (2015) We Are What We Eat: Healthy Eating Trends Around the World.</w:t>
      </w:r>
    </w:p>
    <w:p w14:paraId="00222694" w14:textId="77777777" w:rsidR="00567C94" w:rsidRPr="00567C94" w:rsidRDefault="00567C94" w:rsidP="00567C94">
      <w:pPr>
        <w:pStyle w:val="ListParagraph"/>
        <w:numPr>
          <w:ilvl w:val="0"/>
          <w:numId w:val="3"/>
        </w:numPr>
        <w:tabs>
          <w:tab w:val="left" w:pos="384"/>
        </w:tabs>
        <w:spacing w:line="216" w:lineRule="exact"/>
        <w:ind w:right="138" w:hanging="283"/>
        <w:jc w:val="left"/>
        <w:rPr>
          <w:sz w:val="18"/>
        </w:rPr>
      </w:pPr>
      <w:r w:rsidRPr="00567C94">
        <w:rPr>
          <w:sz w:val="18"/>
        </w:rPr>
        <w:t>List JA et al. J Health Econ. (2015)</w:t>
      </w:r>
      <w:r>
        <w:rPr>
          <w:sz w:val="18"/>
        </w:rPr>
        <w:t xml:space="preserve"> </w:t>
      </w:r>
      <w:hyperlink r:id="rId10" w:history="1">
        <w:r w:rsidRPr="00567C94">
          <w:rPr>
            <w:rStyle w:val="Hyperlink"/>
            <w:sz w:val="18"/>
          </w:rPr>
          <w:t xml:space="preserve">The </w:t>
        </w:r>
        <w:proofErr w:type="spellStart"/>
        <w:r w:rsidRPr="00567C94">
          <w:rPr>
            <w:rStyle w:val="Hyperlink"/>
            <w:sz w:val="18"/>
          </w:rPr>
          <w:t>behavioralist</w:t>
        </w:r>
        <w:proofErr w:type="spellEnd"/>
        <w:r w:rsidRPr="00567C94">
          <w:rPr>
            <w:rStyle w:val="Hyperlink"/>
            <w:sz w:val="18"/>
          </w:rPr>
          <w:t xml:space="preserve"> as nutritionist: leveraging behavioral economics to improve child food </w:t>
        </w:r>
        <w:r w:rsidRPr="00567C94">
          <w:rPr>
            <w:rStyle w:val="Hyperlink"/>
            <w:b/>
            <w:bCs/>
            <w:sz w:val="18"/>
          </w:rPr>
          <w:t>choice</w:t>
        </w:r>
        <w:r w:rsidRPr="00567C94">
          <w:rPr>
            <w:rStyle w:val="Hyperlink"/>
            <w:sz w:val="18"/>
          </w:rPr>
          <w:t xml:space="preserve"> and </w:t>
        </w:r>
        <w:proofErr w:type="spellStart"/>
        <w:r w:rsidRPr="00567C94">
          <w:rPr>
            <w:rStyle w:val="Hyperlink"/>
            <w:sz w:val="18"/>
          </w:rPr>
          <w:t>consumption.</w:t>
        </w:r>
      </w:hyperlink>
      <w:proofErr w:type="spellEnd"/>
    </w:p>
    <w:p w14:paraId="392EA726" w14:textId="77777777" w:rsidR="006D441C" w:rsidRDefault="006D441C" w:rsidP="005973B9">
      <w:pPr>
        <w:pStyle w:val="ListParagraph"/>
        <w:numPr>
          <w:ilvl w:val="0"/>
          <w:numId w:val="3"/>
        </w:numPr>
        <w:tabs>
          <w:tab w:val="left" w:pos="384"/>
        </w:tabs>
        <w:spacing w:before="92" w:line="218" w:lineRule="exact"/>
        <w:ind w:hanging="283"/>
        <w:rPr>
          <w:sz w:val="18"/>
        </w:rPr>
      </w:pPr>
      <w:proofErr w:type="spellStart"/>
      <w:r w:rsidRPr="006D441C">
        <w:rPr>
          <w:sz w:val="18"/>
        </w:rPr>
        <w:t>HealthFocus</w:t>
      </w:r>
      <w:proofErr w:type="spellEnd"/>
      <w:r w:rsidRPr="006D441C">
        <w:rPr>
          <w:sz w:val="18"/>
        </w:rPr>
        <w:t xml:space="preserve"> International (2016) Communicating and Shopping for Health </w:t>
      </w:r>
      <w:hyperlink r:id="rId11" w:history="1">
        <w:r w:rsidRPr="006D441C">
          <w:rPr>
            <w:rStyle w:val="Hyperlink"/>
            <w:sz w:val="18"/>
          </w:rPr>
          <w:t>http://www.healthfocus.com/hf/%20communicating-and-shopping-for-health/</w:t>
        </w:r>
      </w:hyperlink>
    </w:p>
    <w:p w14:paraId="4DCF3D2A" w14:textId="77777777" w:rsidR="006D441C" w:rsidRDefault="006D441C" w:rsidP="005973B9">
      <w:pPr>
        <w:pStyle w:val="BodyText"/>
        <w:spacing w:before="85" w:line="216" w:lineRule="exact"/>
        <w:ind w:left="383" w:right="138" w:hanging="284"/>
        <w:jc w:val="both"/>
        <w:rPr>
          <w:rFonts w:ascii="Calibri" w:eastAsia="Calibri" w:hAnsi="Calibri" w:cs="Calibri"/>
          <w:szCs w:val="22"/>
        </w:rPr>
      </w:pPr>
      <w:r w:rsidRPr="006D441C">
        <w:rPr>
          <w:rFonts w:ascii="Calibri" w:eastAsia="Calibri" w:hAnsi="Calibri" w:cs="Calibri"/>
          <w:szCs w:val="22"/>
        </w:rPr>
        <w:t xml:space="preserve">Rose T, et al. J </w:t>
      </w:r>
      <w:proofErr w:type="spellStart"/>
      <w:r w:rsidRPr="006D441C">
        <w:rPr>
          <w:rFonts w:ascii="Calibri" w:eastAsia="Calibri" w:hAnsi="Calibri" w:cs="Calibri"/>
          <w:szCs w:val="22"/>
        </w:rPr>
        <w:t>Adolesc</w:t>
      </w:r>
      <w:proofErr w:type="spellEnd"/>
      <w:r w:rsidRPr="006D441C">
        <w:rPr>
          <w:rFonts w:ascii="Calibri" w:eastAsia="Calibri" w:hAnsi="Calibri" w:cs="Calibri"/>
          <w:szCs w:val="22"/>
        </w:rPr>
        <w:t xml:space="preserve"> Health (2017) Systematic Review of Digital Interventions for Improving the Diet and Physical Activity Behaviors of Adolescents </w:t>
      </w:r>
      <w:hyperlink r:id="rId12" w:history="1">
        <w:r w:rsidRPr="006D441C">
          <w:rPr>
            <w:rStyle w:val="Hyperlink"/>
            <w:rFonts w:ascii="Calibri" w:eastAsia="Calibri" w:hAnsi="Calibri" w:cs="Calibri"/>
            <w:szCs w:val="22"/>
          </w:rPr>
          <w:t>https://www.ncbi.nlm.nih.gov/pubmed/28822682</w:t>
        </w:r>
      </w:hyperlink>
    </w:p>
    <w:p w14:paraId="226A4CC0"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6D441C" w:rsidRPr="006D441C">
        <w:rPr>
          <w:rFonts w:ascii="Calibri" w:hAnsi="Calibri"/>
        </w:rPr>
        <w:t>Price Waterhouse Cooper</w:t>
      </w:r>
      <w:proofErr w:type="gramStart"/>
      <w:r w:rsidR="006D441C" w:rsidRPr="006D441C">
        <w:rPr>
          <w:rFonts w:ascii="Calibri" w:hAnsi="Calibri"/>
        </w:rPr>
        <w:t>.,</w:t>
      </w:r>
      <w:proofErr w:type="gramEnd"/>
      <w:r w:rsidR="006D441C" w:rsidRPr="006D441C">
        <w:rPr>
          <w:rFonts w:ascii="Calibri" w:hAnsi="Calibri"/>
        </w:rPr>
        <w:t xml:space="preserve"> Social media “likes” healthcare: From marketing to social business. </w:t>
      </w:r>
      <w:hyperlink r:id="rId13" w:history="1">
        <w:r w:rsidR="006D441C" w:rsidRPr="006D441C">
          <w:rPr>
            <w:rStyle w:val="Hyperlink"/>
            <w:rFonts w:ascii="Calibri" w:hAnsi="Calibri"/>
          </w:rPr>
          <w:t>http://www.pwc.com/us/en/health-industries/health-research-institute/publications/pdf/health-care-social-media-report.pdf</w:t>
        </w:r>
      </w:hyperlink>
    </w:p>
    <w:p w14:paraId="630F2914" w14:textId="77777777" w:rsidR="00AE3E37" w:rsidRPr="008756E6" w:rsidRDefault="00AE3E37" w:rsidP="008756E6">
      <w:pPr>
        <w:tabs>
          <w:tab w:val="left" w:pos="384"/>
        </w:tabs>
        <w:ind w:right="117"/>
      </w:pPr>
    </w:p>
    <w:p w14:paraId="57A7E17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E81A670" w14:textId="77777777" w:rsidR="00AE3E37" w:rsidRDefault="00AE3E37">
      <w:pPr>
        <w:pStyle w:val="BodyText"/>
        <w:rPr>
          <w:rFonts w:ascii="Calibri"/>
          <w:sz w:val="20"/>
        </w:rPr>
      </w:pPr>
    </w:p>
    <w:p w14:paraId="2EDAFB7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A6EFADC" wp14:editId="7E9A8A8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1EDE9D6" w14:textId="77777777" w:rsidR="00AE3E37" w:rsidRDefault="008756E6" w:rsidP="00404E5B">
      <w:pPr>
        <w:spacing w:before="92"/>
        <w:ind w:right="4234"/>
        <w:rPr>
          <w:rFonts w:ascii="Arial"/>
        </w:rPr>
      </w:pPr>
      <w:r>
        <w:rPr>
          <w:noProof/>
        </w:rPr>
        <w:t xml:space="preserve">              </w:t>
      </w:r>
      <w:r w:rsidR="006D441C">
        <w:rPr>
          <w:noProof/>
        </w:rPr>
        <w:drawing>
          <wp:inline distT="0" distB="0" distL="0" distR="0" wp14:anchorId="09C08D19" wp14:editId="3AF1B2E7">
            <wp:extent cx="633244" cy="633244"/>
            <wp:effectExtent l="0" t="0" r="1905" b="1905"/>
            <wp:docPr id="2" name="Picture 2" descr="Macintosh HD:private:var:folders:8_:wmsbxdls6w95hjqp7hlkfr9c0000gn:T:TemporaryItems:0856a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8_:wmsbxdls6w95hjqp7hlkfr9c0000gn:T:TemporaryItems:0856a8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3244" cy="633244"/>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3F3075E8" w14:textId="77777777" w:rsidR="006D441C" w:rsidRPr="006D441C" w:rsidRDefault="006D441C" w:rsidP="006D441C">
      <w:pPr>
        <w:spacing w:before="62"/>
        <w:ind w:left="720" w:right="4235"/>
        <w:rPr>
          <w:rFonts w:ascii="Arial"/>
          <w:sz w:val="14"/>
        </w:rPr>
      </w:pPr>
      <w:r w:rsidRPr="006D441C">
        <w:rPr>
          <w:rFonts w:ascii="Arial"/>
          <w:sz w:val="14"/>
        </w:rPr>
        <w:t xml:space="preserve">Merging strategic food and nutrition communications with global expertise, Julie Meyer, RDN, leads Eat Well Global, Inc., with enthusiasm, dedication and attention to detail. Eat Well Global ignites change in consumer behavior through </w:t>
      </w:r>
      <w:r>
        <w:rPr>
          <w:rFonts w:ascii="Arial"/>
          <w:sz w:val="14"/>
        </w:rPr>
        <w:t xml:space="preserve">global insights, strategic planning and </w:t>
      </w:r>
      <w:r w:rsidRPr="006D441C">
        <w:rPr>
          <w:rFonts w:ascii="Arial"/>
          <w:sz w:val="14"/>
        </w:rPr>
        <w:t>stakeholder engagement on behalf of our global food and nutrition clients. From multinational food companies to start-ups to global health organizations, our 360-degree insights analysis drives multi-platform stakeholder engagement in more than 30 countries.</w:t>
      </w:r>
      <w:r>
        <w:rPr>
          <w:rFonts w:ascii="Arial"/>
          <w:sz w:val="14"/>
        </w:rPr>
        <w:t xml:space="preserve">  </w:t>
      </w:r>
      <w:r w:rsidRPr="006D441C">
        <w:rPr>
          <w:rFonts w:ascii="Arial"/>
          <w:sz w:val="14"/>
        </w:rPr>
        <w:t>Before starting Eat Well Global, Julie was a journalist and the author of Eat Well Shanghai: Your Guide to Eating Well at Home and On the Go, a guide for expats living in Shanghai, China, where she lived for two years.</w:t>
      </w:r>
      <w:r w:rsidRPr="006D441C">
        <w:rPr>
          <w:rFonts w:ascii="Arial"/>
          <w:sz w:val="14"/>
        </w:rPr>
        <w:t> </w:t>
      </w:r>
      <w:r>
        <w:rPr>
          <w:rFonts w:ascii="Arial"/>
          <w:sz w:val="14"/>
        </w:rPr>
        <w:t xml:space="preserve"> </w:t>
      </w:r>
      <w:r w:rsidRPr="006D441C">
        <w:rPr>
          <w:rFonts w:ascii="Arial"/>
          <w:sz w:val="14"/>
        </w:rPr>
        <w:t>Currently, she is the Nutrition Division chair of the Institute of Food Technologists (IFT) and speaks often on nutrition and health trends at events such as Food Matters Live (UK), Israel Nutrition Week, Culinary Institute of America's Worlds of Healthy Flavors, IFT Wellness and Malaysian Dietetic Association (MDA) AODA joint conference.</w:t>
      </w:r>
    </w:p>
    <w:p w14:paraId="412823D7" w14:textId="77777777" w:rsidR="006D441C" w:rsidRPr="006D441C" w:rsidRDefault="006D441C" w:rsidP="006D441C">
      <w:pPr>
        <w:spacing w:before="62"/>
        <w:ind w:left="720" w:right="4235"/>
        <w:rPr>
          <w:rFonts w:ascii="Arial"/>
          <w:sz w:val="14"/>
        </w:rPr>
      </w:pPr>
    </w:p>
    <w:p w14:paraId="3BF3D1C9" w14:textId="77777777" w:rsidR="00AE3E37" w:rsidRDefault="00A9710C">
      <w:pPr>
        <w:spacing w:before="62"/>
        <w:ind w:left="4217" w:right="4235"/>
        <w:jc w:val="center"/>
        <w:rPr>
          <w:rFonts w:ascii="Arial"/>
          <w:sz w:val="14"/>
        </w:rPr>
      </w:pPr>
      <w:r>
        <w:rPr>
          <w:rFonts w:ascii="Arial"/>
          <w:sz w:val="14"/>
        </w:rPr>
        <w:t xml:space="preserve">Email: </w:t>
      </w:r>
      <w:hyperlink r:id="rId15" w:history="1">
        <w:r w:rsidR="006D441C">
          <w:rPr>
            <w:rStyle w:val="Hyperlink"/>
            <w:rFonts w:ascii="Arial"/>
            <w:sz w:val="14"/>
          </w:rPr>
          <w:t>jmeyer@eatwellglobal.com</w:t>
        </w:r>
      </w:hyperlink>
    </w:p>
    <w:p w14:paraId="13C3EE54"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656911F2" wp14:editId="0AE25C7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E9ACBFA" w14:textId="77777777" w:rsidR="00AE3E37" w:rsidRDefault="00AE3E37">
      <w:pPr>
        <w:pStyle w:val="BodyText"/>
        <w:rPr>
          <w:rFonts w:ascii="Arial"/>
          <w:sz w:val="20"/>
        </w:rPr>
      </w:pPr>
    </w:p>
    <w:p w14:paraId="73903040" w14:textId="77777777" w:rsidR="00AE3E37" w:rsidRDefault="00AE3E37">
      <w:pPr>
        <w:pStyle w:val="BodyText"/>
        <w:rPr>
          <w:rFonts w:ascii="Arial"/>
          <w:sz w:val="20"/>
        </w:rPr>
      </w:pPr>
    </w:p>
    <w:p w14:paraId="7D97FFCE" w14:textId="77777777" w:rsidR="00AE3E37" w:rsidRDefault="00AE3E37">
      <w:pPr>
        <w:pStyle w:val="BodyText"/>
        <w:spacing w:before="7"/>
        <w:rPr>
          <w:rFonts w:ascii="Arial"/>
          <w:sz w:val="29"/>
        </w:rPr>
      </w:pPr>
    </w:p>
    <w:p w14:paraId="4B3D8C14" w14:textId="77777777" w:rsidR="00AE3E37" w:rsidRPr="00B21A57" w:rsidRDefault="00A9710C">
      <w:pPr>
        <w:spacing w:before="39"/>
        <w:ind w:left="100"/>
        <w:rPr>
          <w:rFonts w:ascii="Minion Pro"/>
          <w:b/>
          <w:sz w:val="20"/>
        </w:rPr>
      </w:pPr>
      <w:r w:rsidRPr="00B21A57">
        <w:rPr>
          <w:rFonts w:ascii="Minion Pro"/>
          <w:b/>
          <w:sz w:val="20"/>
        </w:rPr>
        <w:t>Notes/Comments:</w:t>
      </w:r>
    </w:p>
    <w:p w14:paraId="1333BA0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27555F2"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34939A" w14:textId="77777777" w:rsidR="00567C94" w:rsidRDefault="00567C94">
      <w:r>
        <w:separator/>
      </w:r>
    </w:p>
  </w:endnote>
  <w:endnote w:type="continuationSeparator" w:id="0">
    <w:p w14:paraId="0F8B07D6" w14:textId="77777777" w:rsidR="00567C94" w:rsidRDefault="00567C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5060EF" w14:textId="77777777" w:rsidR="00567C94" w:rsidRDefault="00567C94">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F020F51" wp14:editId="0D1290F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345E1" w14:textId="77777777" w:rsidR="00567C94" w:rsidRPr="005B3A56" w:rsidRDefault="00567C9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4CB084" w14:textId="77777777" w:rsidR="00567C94" w:rsidRPr="005B3A56" w:rsidRDefault="00567C9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657345E1" w14:textId="77777777" w:rsidR="00567C94" w:rsidRPr="005B3A56" w:rsidRDefault="00567C94">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24CB084" w14:textId="77777777" w:rsidR="00567C94" w:rsidRPr="005B3A56" w:rsidRDefault="00567C9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C4EFA11" wp14:editId="1CDC1E7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C66BE" w14:textId="77777777" w:rsidR="00567C94" w:rsidRPr="005B3A56" w:rsidRDefault="00567C9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1E4E34" w14:textId="77777777" w:rsidR="00567C94" w:rsidRPr="005B3A56" w:rsidRDefault="00567C94">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179C66BE" w14:textId="77777777" w:rsidR="00567C94" w:rsidRPr="005B3A56" w:rsidRDefault="00567C94">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1E4E34" w14:textId="77777777" w:rsidR="00567C94" w:rsidRPr="005B3A56" w:rsidRDefault="00567C9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3898F3A" wp14:editId="0F486F4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97C49E" w14:textId="77777777" w:rsidR="00567C94" w:rsidRPr="005B3A56" w:rsidRDefault="00567C9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D5EC56E" w14:textId="77777777" w:rsidR="00567C94" w:rsidRPr="005B3A56" w:rsidRDefault="00567C9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4497C49E" w14:textId="77777777" w:rsidR="00567C94" w:rsidRPr="005B3A56" w:rsidRDefault="00567C9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D5EC56E" w14:textId="77777777" w:rsidR="00567C94" w:rsidRPr="005B3A56" w:rsidRDefault="00567C9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010144" w14:textId="77777777" w:rsidR="00567C94" w:rsidRDefault="00567C94">
      <w:r>
        <w:separator/>
      </w:r>
    </w:p>
  </w:footnote>
  <w:footnote w:type="continuationSeparator" w:id="0">
    <w:p w14:paraId="0A6C693A" w14:textId="77777777" w:rsidR="00567C94" w:rsidRDefault="00567C9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438D85" w14:textId="77777777" w:rsidR="00567C94" w:rsidRDefault="00567C94">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1464D4C2" wp14:editId="7B42DC7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E29E88" w14:textId="77777777" w:rsidR="00567C94" w:rsidRPr="005B3A56" w:rsidRDefault="00567C9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68E29E88" w14:textId="77777777" w:rsidR="00567C94" w:rsidRPr="005B3A56" w:rsidRDefault="00567C94">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4F10675E" wp14:editId="435A6C85">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DFA19C" w14:textId="77777777" w:rsidR="00567C94" w:rsidRPr="005B3A56" w:rsidRDefault="00567C9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47CBF7" w14:textId="77777777" w:rsidR="00567C94" w:rsidRPr="005B3A56" w:rsidRDefault="00567C9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4DFA19C" w14:textId="77777777" w:rsidR="00567C94" w:rsidRPr="005B3A56" w:rsidRDefault="00567C94">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247CBF7" w14:textId="77777777" w:rsidR="00567C94" w:rsidRPr="005B3A56" w:rsidRDefault="00567C9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455EC"/>
    <w:rsid w:val="00292ED9"/>
    <w:rsid w:val="00404E5B"/>
    <w:rsid w:val="00414F7B"/>
    <w:rsid w:val="004355DC"/>
    <w:rsid w:val="004749B4"/>
    <w:rsid w:val="00494130"/>
    <w:rsid w:val="004F3523"/>
    <w:rsid w:val="00567C94"/>
    <w:rsid w:val="005973B9"/>
    <w:rsid w:val="005B3A56"/>
    <w:rsid w:val="006060CE"/>
    <w:rsid w:val="0063497F"/>
    <w:rsid w:val="006D441C"/>
    <w:rsid w:val="00873DF0"/>
    <w:rsid w:val="008756E6"/>
    <w:rsid w:val="008A08B6"/>
    <w:rsid w:val="009B2D44"/>
    <w:rsid w:val="00A07E82"/>
    <w:rsid w:val="00A9710C"/>
    <w:rsid w:val="00AE3E37"/>
    <w:rsid w:val="00B21A57"/>
    <w:rsid w:val="00C33602"/>
    <w:rsid w:val="00CD6F55"/>
    <w:rsid w:val="00DE3104"/>
    <w:rsid w:val="00E26B10"/>
    <w:rsid w:val="00F72EEA"/>
    <w:rsid w:val="00F84CAE"/>
    <w:rsid w:val="00FC55FC"/>
    <w:rsid w:val="00FE200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B93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639943">
      <w:bodyDiv w:val="1"/>
      <w:marLeft w:val="0"/>
      <w:marRight w:val="0"/>
      <w:marTop w:val="0"/>
      <w:marBottom w:val="0"/>
      <w:divBdr>
        <w:top w:val="none" w:sz="0" w:space="0" w:color="auto"/>
        <w:left w:val="none" w:sz="0" w:space="0" w:color="auto"/>
        <w:bottom w:val="none" w:sz="0" w:space="0" w:color="auto"/>
        <w:right w:val="none" w:sz="0" w:space="0" w:color="auto"/>
      </w:divBdr>
      <w:divsChild>
        <w:div w:id="765349725">
          <w:marLeft w:val="0"/>
          <w:marRight w:val="0"/>
          <w:marTop w:val="0"/>
          <w:marBottom w:val="0"/>
          <w:divBdr>
            <w:top w:val="none" w:sz="0" w:space="0" w:color="auto"/>
            <w:left w:val="none" w:sz="0" w:space="0" w:color="auto"/>
            <w:bottom w:val="none" w:sz="0" w:space="0" w:color="auto"/>
            <w:right w:val="none" w:sz="0" w:space="0" w:color="auto"/>
          </w:divBdr>
        </w:div>
        <w:div w:id="1076050775">
          <w:marLeft w:val="0"/>
          <w:marRight w:val="0"/>
          <w:marTop w:val="0"/>
          <w:marBottom w:val="0"/>
          <w:divBdr>
            <w:top w:val="none" w:sz="0" w:space="0" w:color="auto"/>
            <w:left w:val="none" w:sz="0" w:space="0" w:color="auto"/>
            <w:bottom w:val="none" w:sz="0" w:space="0" w:color="auto"/>
            <w:right w:val="none" w:sz="0" w:space="0" w:color="auto"/>
          </w:divBdr>
        </w:div>
        <w:div w:id="243609410">
          <w:marLeft w:val="0"/>
          <w:marRight w:val="0"/>
          <w:marTop w:val="0"/>
          <w:marBottom w:val="0"/>
          <w:divBdr>
            <w:top w:val="none" w:sz="0" w:space="0" w:color="auto"/>
            <w:left w:val="none" w:sz="0" w:space="0" w:color="auto"/>
            <w:bottom w:val="none" w:sz="0" w:space="0" w:color="auto"/>
            <w:right w:val="none" w:sz="0" w:space="0" w:color="auto"/>
          </w:divBdr>
        </w:div>
        <w:div w:id="113721977">
          <w:marLeft w:val="0"/>
          <w:marRight w:val="0"/>
          <w:marTop w:val="0"/>
          <w:marBottom w:val="0"/>
          <w:divBdr>
            <w:top w:val="none" w:sz="0" w:space="0" w:color="auto"/>
            <w:left w:val="none" w:sz="0" w:space="0" w:color="auto"/>
            <w:bottom w:val="none" w:sz="0" w:space="0" w:color="auto"/>
            <w:right w:val="none" w:sz="0" w:space="0" w:color="auto"/>
          </w:divBdr>
        </w:div>
        <w:div w:id="661547285">
          <w:marLeft w:val="0"/>
          <w:marRight w:val="0"/>
          <w:marTop w:val="0"/>
          <w:marBottom w:val="0"/>
          <w:divBdr>
            <w:top w:val="none" w:sz="0" w:space="0" w:color="auto"/>
            <w:left w:val="none" w:sz="0" w:space="0" w:color="auto"/>
            <w:bottom w:val="none" w:sz="0" w:space="0" w:color="auto"/>
            <w:right w:val="none" w:sz="0" w:space="0" w:color="auto"/>
          </w:divBdr>
        </w:div>
      </w:divsChild>
    </w:div>
    <w:div w:id="372537950">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39015386">
      <w:bodyDiv w:val="1"/>
      <w:marLeft w:val="0"/>
      <w:marRight w:val="0"/>
      <w:marTop w:val="0"/>
      <w:marBottom w:val="0"/>
      <w:divBdr>
        <w:top w:val="none" w:sz="0" w:space="0" w:color="auto"/>
        <w:left w:val="none" w:sz="0" w:space="0" w:color="auto"/>
        <w:bottom w:val="none" w:sz="0" w:space="0" w:color="auto"/>
        <w:right w:val="none" w:sz="0" w:space="0" w:color="auto"/>
      </w:divBdr>
    </w:div>
    <w:div w:id="1011906554">
      <w:bodyDiv w:val="1"/>
      <w:marLeft w:val="0"/>
      <w:marRight w:val="0"/>
      <w:marTop w:val="0"/>
      <w:marBottom w:val="0"/>
      <w:divBdr>
        <w:top w:val="none" w:sz="0" w:space="0" w:color="auto"/>
        <w:left w:val="none" w:sz="0" w:space="0" w:color="auto"/>
        <w:bottom w:val="none" w:sz="0" w:space="0" w:color="auto"/>
        <w:right w:val="none" w:sz="0" w:space="0" w:color="auto"/>
      </w:divBdr>
    </w:div>
    <w:div w:id="112407744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862276411">
      <w:bodyDiv w:val="1"/>
      <w:marLeft w:val="0"/>
      <w:marRight w:val="0"/>
      <w:marTop w:val="0"/>
      <w:marBottom w:val="0"/>
      <w:divBdr>
        <w:top w:val="none" w:sz="0" w:space="0" w:color="auto"/>
        <w:left w:val="none" w:sz="0" w:space="0" w:color="auto"/>
        <w:bottom w:val="none" w:sz="0" w:space="0" w:color="auto"/>
        <w:right w:val="none" w:sz="0" w:space="0" w:color="auto"/>
      </w:divBdr>
    </w:div>
    <w:div w:id="1959876357">
      <w:bodyDiv w:val="1"/>
      <w:marLeft w:val="0"/>
      <w:marRight w:val="0"/>
      <w:marTop w:val="0"/>
      <w:marBottom w:val="0"/>
      <w:divBdr>
        <w:top w:val="none" w:sz="0" w:space="0" w:color="auto"/>
        <w:left w:val="none" w:sz="0" w:space="0" w:color="auto"/>
        <w:bottom w:val="none" w:sz="0" w:space="0" w:color="auto"/>
        <w:right w:val="none" w:sz="0" w:space="0" w:color="auto"/>
      </w:divBdr>
    </w:div>
    <w:div w:id="2009676839">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healthfocus.com/hf/%20communicating-and-shopping-for-health/" TargetMode="External"/><Relationship Id="rId12" Type="http://schemas.openxmlformats.org/officeDocument/2006/relationships/hyperlink" Target="https://www.ncbi.nlm.nih.gov/pubmed/28822682" TargetMode="External"/><Relationship Id="rId13" Type="http://schemas.openxmlformats.org/officeDocument/2006/relationships/hyperlink" Target="http://www.pwc.com/us/en/health-industries/health-research-institute/publications/pdf/health-care-social-media-report.pdf" TargetMode="External"/><Relationship Id="rId14" Type="http://schemas.openxmlformats.org/officeDocument/2006/relationships/image" Target="media/image1.jpeg"/><Relationship Id="rId15" Type="http://schemas.openxmlformats.org/officeDocument/2006/relationships/hyperlink" Target="mailto:drXXXXXXX@xxxmail.com"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yperlink" Target="https://www.ncbi.nlm.nih.gov/pubmed/25530206"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638</Words>
  <Characters>3637</Characters>
  <Application>Microsoft Macintosh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Julie Meyer</cp:lastModifiedBy>
  <cp:revision>3</cp:revision>
  <dcterms:created xsi:type="dcterms:W3CDTF">2017-09-01T15:47:00Z</dcterms:created>
  <dcterms:modified xsi:type="dcterms:W3CDTF">2017-09-01T16:20:00Z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