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E50" w:rsidRPr="004D5E50" w:rsidRDefault="004D5E50" w:rsidP="004D5E50">
      <w:pPr>
        <w:rPr>
          <w:b/>
        </w:rPr>
      </w:pPr>
      <w:r w:rsidRPr="004D5E50">
        <w:rPr>
          <w:b/>
        </w:rPr>
        <w:t xml:space="preserve">Binge eating disorder and compulsive/emotional </w:t>
      </w:r>
      <w:r w:rsidR="003F5DFE">
        <w:rPr>
          <w:b/>
        </w:rPr>
        <w:t>over</w:t>
      </w:r>
      <w:r w:rsidRPr="004D5E50">
        <w:rPr>
          <w:b/>
        </w:rPr>
        <w:t>eating in men and women: an overview of predisposing, precipitating and perpetuating factors and gender differences in clinical conceptualization and psychotherapy.</w:t>
      </w:r>
    </w:p>
    <w:p w:rsidR="004D5E50" w:rsidRDefault="004D5E50" w:rsidP="005973B9">
      <w:pPr>
        <w:pStyle w:val="BodyText"/>
        <w:spacing w:before="73" w:line="198" w:lineRule="exact"/>
        <w:ind w:left="100" w:right="5987"/>
        <w:rPr>
          <w:rFonts w:ascii="Arial"/>
        </w:rPr>
      </w:pPr>
    </w:p>
    <w:p w:rsidR="004D5E50" w:rsidRPr="003F5DFE" w:rsidRDefault="004D5E50" w:rsidP="003F5DFE">
      <w:pPr>
        <w:pStyle w:val="BodyText"/>
        <w:spacing w:before="73" w:line="198" w:lineRule="exact"/>
        <w:ind w:left="100" w:right="5987"/>
        <w:rPr>
          <w:rFonts w:ascii="Arial"/>
        </w:rPr>
        <w:sectPr w:rsidR="004D5E50" w:rsidRPr="003F5DFE">
          <w:headerReference w:type="default" r:id="rId8"/>
          <w:footerReference w:type="default" r:id="rId9"/>
          <w:type w:val="continuous"/>
          <w:pgSz w:w="11910" w:h="16840"/>
          <w:pgMar w:top="1740" w:right="600" w:bottom="840" w:left="620" w:header="541" w:footer="642" w:gutter="0"/>
          <w:cols w:space="720"/>
        </w:sectPr>
      </w:pPr>
      <w:r>
        <w:rPr>
          <w:rFonts w:ascii="Arial"/>
        </w:rPr>
        <w:t xml:space="preserve">Dr. </w:t>
      </w:r>
      <w:proofErr w:type="spellStart"/>
      <w:r>
        <w:rPr>
          <w:rFonts w:ascii="Arial"/>
        </w:rPr>
        <w:t>Genziana</w:t>
      </w:r>
      <w:proofErr w:type="spellEnd"/>
      <w:r>
        <w:rPr>
          <w:rFonts w:ascii="Arial"/>
        </w:rPr>
        <w:t xml:space="preserve"> Lay, clinical psychologist/psychotherapist, p</w:t>
      </w:r>
      <w:r w:rsidR="003F5DFE">
        <w:rPr>
          <w:rFonts w:ascii="Arial"/>
        </w:rPr>
        <w:t>rivate practice, Sassari, Italy</w:t>
      </w:r>
    </w:p>
    <w:p w:rsidR="00AE3E37" w:rsidRDefault="00A9710C" w:rsidP="004D5E50">
      <w:pPr>
        <w:pStyle w:val="Heading3"/>
        <w:spacing w:before="147"/>
        <w:ind w:left="0"/>
        <w:jc w:val="both"/>
      </w:pPr>
      <w:r>
        <w:rPr>
          <w:color w:val="BF5A14"/>
        </w:rPr>
        <w:lastRenderedPageBreak/>
        <w:t>Abstract</w:t>
      </w:r>
      <w:r w:rsidR="00404E5B">
        <w:rPr>
          <w:color w:val="BF5A14"/>
        </w:rPr>
        <w:t xml:space="preserve"> </w:t>
      </w:r>
    </w:p>
    <w:p w:rsidR="004D5E50" w:rsidRDefault="004D5E50" w:rsidP="004D5E50"/>
    <w:p w:rsidR="003F5DFE" w:rsidRDefault="004D5E50" w:rsidP="004D5E50">
      <w:r>
        <w:t xml:space="preserve">Binge-eating disorder (BED) and compulsive/emotional overeating (CEO) both involve an unhealthy relationship with food that has little to do with hunger- </w:t>
      </w:r>
      <w:r>
        <w:t xml:space="preserve">they are </w:t>
      </w:r>
      <w:r>
        <w:t>conditions wherein a person feels unable to control episodes of excessive, disorderly food intake, resulting in a sense of shame, powerlessness, discomfort and serious health risks.</w:t>
      </w:r>
      <w:r>
        <w:t xml:space="preserve"> They are characterized by a constellation of symptoms related to emotional regulation, self-image, addiction and</w:t>
      </w:r>
      <w:r w:rsidR="003F5DFE">
        <w:t xml:space="preserve"> maladaptive behavior. </w:t>
      </w:r>
      <w:r>
        <w:t xml:space="preserve"> BED is often associated with addiction-related </w:t>
      </w:r>
      <w:r w:rsidR="003F5DFE">
        <w:t>patterns</w:t>
      </w:r>
      <w:r>
        <w:t xml:space="preserve">, depression, emotional </w:t>
      </w:r>
      <w:proofErr w:type="spellStart"/>
      <w:r>
        <w:t>dysregulation</w:t>
      </w:r>
      <w:proofErr w:type="spellEnd"/>
      <w:r>
        <w:t xml:space="preserve"> and self-</w:t>
      </w:r>
      <w:r w:rsidR="003F5DFE">
        <w:t>esteem</w:t>
      </w:r>
      <w:r>
        <w:t xml:space="preserve"> issues.</w:t>
      </w:r>
      <w:r w:rsidRPr="008B0083">
        <w:t xml:space="preserve"> </w:t>
      </w:r>
      <w:r>
        <w:t xml:space="preserve">Eating disorders (EDs) have traditionally been associated with a high-risk young, Western female population. This perception, however, is increasingly challenged as globalization and industrialization foster a higher incidence of EDs in non-Western nations (particularly Asian) and as epidemiological research highlights that the disorders are more prevalent in males than previously believed.  This paper provides an overview of predisposing, precipitating and perpetuating factors of BED and CEO in both men and women, with particular attention to gender differences in clinical conceptualization of cases and therapeutic approaches. While there is clearly common ground, women frequently appear to be negatively influenced by family dynamics related to food and relationships as well as by media-driven pressure, while men are deeply affected by social expectations regarding masculinity, performance and emotional control. Men are more reluctant to seek treatment and suffer more social stigma with diagnosis.  </w:t>
      </w:r>
    </w:p>
    <w:p w:rsidR="003F5DFE" w:rsidRDefault="003F5DFE" w:rsidP="004D5E50"/>
    <w:p w:rsidR="003F5DFE" w:rsidRDefault="003F5DFE" w:rsidP="004D5E50"/>
    <w:p w:rsidR="003F5DFE" w:rsidRDefault="003F5DFE" w:rsidP="004D5E50"/>
    <w:p w:rsidR="003F5DFE" w:rsidRDefault="003F5DFE" w:rsidP="004D5E50"/>
    <w:p w:rsidR="003F5DFE" w:rsidRDefault="003F5DFE" w:rsidP="004D5E50"/>
    <w:p w:rsidR="003F5DFE" w:rsidRDefault="003F5DFE" w:rsidP="004D5E50"/>
    <w:p w:rsidR="004D5E50" w:rsidRDefault="003F5DFE" w:rsidP="004D5E50">
      <w:r>
        <w:t xml:space="preserve">This </w:t>
      </w:r>
      <w:r w:rsidR="004D5E50">
        <w:t xml:space="preserve">study also </w:t>
      </w:r>
      <w:r>
        <w:t xml:space="preserve">discusses risk factors and warning signs that may be helpful for non-clinicians (such as nutritionists or coaches) to identify potential problems and refer clients for psychotherapy. The paper furthermore </w:t>
      </w:r>
      <w:r w:rsidR="004D5E50">
        <w:t xml:space="preserve">outlines an effective treating approach for the disorder which includes: individual assessment, cognitive restructuring (focusing particularly on beliefs on body image, self-esteem food and emotions), teaching </w:t>
      </w:r>
      <w:r w:rsidR="004D5E50">
        <w:rPr>
          <w:i/>
        </w:rPr>
        <w:t>attuned eating</w:t>
      </w:r>
      <w:r w:rsidR="004D5E50">
        <w:t xml:space="preserve">, work on self-image, self-esteem and body image (particularly utilizing creative/ art therapy approaches), and tailored nutritional/exercise counseling. The conceptualization and treatment are further exemplified </w:t>
      </w:r>
      <w:r>
        <w:t>through</w:t>
      </w:r>
      <w:r w:rsidR="004D5E50">
        <w:t xml:space="preserve"> two recent case study reports (one male, one female) illustrating key issues and </w:t>
      </w:r>
      <w:r>
        <w:t xml:space="preserve">typical </w:t>
      </w:r>
      <w:r w:rsidR="004D5E50">
        <w:t>course of therapy.</w:t>
      </w:r>
    </w:p>
    <w:p w:rsidR="005973B9" w:rsidRPr="00C7583E" w:rsidRDefault="00C42CE2" w:rsidP="005973B9">
      <w:pPr>
        <w:spacing w:line="204" w:lineRule="exact"/>
        <w:rPr>
          <w:rFonts w:asciiTheme="minorHAnsi" w:hAnsiTheme="minorHAnsi"/>
          <w:b/>
          <w:sz w:val="20"/>
        </w:rPr>
      </w:pPr>
      <w:r>
        <w:rPr>
          <w:rFonts w:ascii="Arial"/>
          <w:b/>
          <w:color w:val="BF5A14"/>
          <w:sz w:val="20"/>
        </w:rPr>
        <w:br/>
      </w:r>
      <w:r w:rsidR="004D5E50">
        <w:rPr>
          <w:rFonts w:ascii="Arial"/>
          <w:b/>
          <w:color w:val="BF5A14"/>
          <w:sz w:val="20"/>
        </w:rPr>
        <w:t xml:space="preserve"> </w:t>
      </w:r>
      <w:r w:rsidRPr="00C7583E">
        <w:rPr>
          <w:rFonts w:asciiTheme="minorHAnsi" w:hAnsiTheme="minorHAnsi"/>
          <w:b/>
          <w:color w:val="BF5A14"/>
          <w:sz w:val="20"/>
        </w:rPr>
        <w:t>Recent Publications/ Conference Presentations</w:t>
      </w:r>
    </w:p>
    <w:p w:rsidR="005973B9" w:rsidRPr="00C7583E" w:rsidRDefault="00C42CE2" w:rsidP="00C42CE2">
      <w:pPr>
        <w:pStyle w:val="ListParagraph"/>
        <w:ind w:left="90" w:firstLine="0"/>
        <w:jc w:val="left"/>
        <w:rPr>
          <w:rFonts w:asciiTheme="minorHAnsi" w:hAnsiTheme="minorHAnsi"/>
          <w:sz w:val="18"/>
        </w:rPr>
      </w:pPr>
      <w:r w:rsidRPr="00C7583E">
        <w:rPr>
          <w:rFonts w:asciiTheme="minorHAnsi" w:hAnsiTheme="minorHAnsi"/>
          <w:sz w:val="18"/>
        </w:rPr>
        <w:t>Lay, G. (2015). Trauma, post-traumatic growth and creativity: how the emotional and cognitive consequences of trauma can be conceptualized as and channeled into opportunities for engagement in a therapeutic creative process. Interdisciplinary net proceedings journal and book chapter, International Conference on Trauma, Lisbon, Portugal.</w:t>
      </w:r>
    </w:p>
    <w:p w:rsidR="00C42CE2" w:rsidRPr="00C7583E" w:rsidRDefault="00C42CE2" w:rsidP="00C42CE2">
      <w:pPr>
        <w:pStyle w:val="ListParagraph"/>
        <w:ind w:left="90" w:firstLine="0"/>
        <w:jc w:val="left"/>
        <w:rPr>
          <w:rFonts w:asciiTheme="minorHAnsi" w:hAnsiTheme="minorHAnsi"/>
          <w:sz w:val="18"/>
        </w:rPr>
      </w:pPr>
      <w:r w:rsidRPr="00C7583E">
        <w:rPr>
          <w:rFonts w:asciiTheme="minorHAnsi" w:hAnsiTheme="minorHAnsi"/>
          <w:sz w:val="18"/>
        </w:rPr>
        <w:t>Lay, G. (2016).  Drawing from principles of schema therapy to address internal working models and attachment issues through cognitive work and art psychotherapy with individuals and couples.</w:t>
      </w:r>
      <w:r w:rsidR="00AB3C89" w:rsidRPr="00C7583E">
        <w:rPr>
          <w:rFonts w:asciiTheme="minorHAnsi" w:hAnsiTheme="minorHAnsi"/>
          <w:sz w:val="18"/>
        </w:rPr>
        <w:t xml:space="preserve">  E</w:t>
      </w:r>
      <w:r w:rsidR="00C7583E">
        <w:rPr>
          <w:rFonts w:asciiTheme="minorHAnsi" w:hAnsiTheme="minorHAnsi"/>
          <w:sz w:val="18"/>
        </w:rPr>
        <w:t>-</w:t>
      </w:r>
      <w:r w:rsidR="00AB3C89" w:rsidRPr="00C7583E">
        <w:rPr>
          <w:rFonts w:asciiTheme="minorHAnsi" w:hAnsiTheme="minorHAnsi"/>
          <w:sz w:val="18"/>
        </w:rPr>
        <w:t>book and conference proceedings, Association of Psychology and Psychiatry for Adults and Children (APPAC). Athens, Greece.</w:t>
      </w:r>
    </w:p>
    <w:p w:rsidR="00C42CE2" w:rsidRPr="00C7583E" w:rsidRDefault="00AB3C89" w:rsidP="00C42CE2">
      <w:pPr>
        <w:pStyle w:val="ListParagraph"/>
        <w:ind w:left="90" w:firstLine="0"/>
        <w:jc w:val="left"/>
        <w:rPr>
          <w:rFonts w:asciiTheme="minorHAnsi" w:hAnsiTheme="minorHAnsi"/>
          <w:sz w:val="18"/>
        </w:rPr>
      </w:pPr>
      <w:r w:rsidRPr="00C7583E">
        <w:rPr>
          <w:rFonts w:asciiTheme="minorHAnsi" w:hAnsiTheme="minorHAnsi"/>
          <w:sz w:val="18"/>
        </w:rPr>
        <w:t xml:space="preserve">Lay, G. (2017).  Transcendent journeys into nature and psyche: a working model of wilderness psychotherapy. </w:t>
      </w:r>
      <w:r w:rsidRPr="00C7583E">
        <w:rPr>
          <w:rFonts w:asciiTheme="minorHAnsi" w:hAnsiTheme="minorHAnsi"/>
          <w:sz w:val="18"/>
        </w:rPr>
        <w:t xml:space="preserve">TPO, </w:t>
      </w:r>
      <w:r w:rsidRPr="00C7583E">
        <w:rPr>
          <w:rFonts w:asciiTheme="minorHAnsi" w:hAnsiTheme="minorHAnsi"/>
          <w:sz w:val="18"/>
        </w:rPr>
        <w:t>E</w:t>
      </w:r>
      <w:r w:rsidR="00C7583E">
        <w:rPr>
          <w:rFonts w:asciiTheme="minorHAnsi" w:hAnsiTheme="minorHAnsi"/>
          <w:sz w:val="18"/>
        </w:rPr>
        <w:t>-</w:t>
      </w:r>
      <w:bookmarkStart w:id="0" w:name="_GoBack"/>
      <w:bookmarkEnd w:id="0"/>
      <w:r w:rsidRPr="00C7583E">
        <w:rPr>
          <w:rFonts w:asciiTheme="minorHAnsi" w:hAnsiTheme="minorHAnsi"/>
          <w:sz w:val="18"/>
        </w:rPr>
        <w:t>book and conference proceedings, International conference on psychology and spirituality. Bangkok, Thailand.</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it-IT" w:eastAsia="it-IT"/>
        </w:rPr>
        <w:drawing>
          <wp:inline distT="0" distB="0" distL="0" distR="0" wp14:anchorId="1B650C0E" wp14:editId="0E8C3C7F">
            <wp:extent cx="549678" cy="625069"/>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49678" cy="625069"/>
                    </a:xfrm>
                    <a:prstGeom prst="rect">
                      <a:avLst/>
                    </a:prstGeom>
                    <a:noFill/>
                    <a:ln>
                      <a:noFill/>
                    </a:ln>
                  </pic:spPr>
                </pic:pic>
              </a:graphicData>
            </a:graphic>
          </wp:inline>
        </w:drawing>
      </w:r>
      <w:r w:rsidR="003F5DFE">
        <w:rPr>
          <w:noProof/>
        </w:rPr>
        <w:t xml:space="preserve">         </w:t>
      </w:r>
      <w:r w:rsidR="00A9710C">
        <w:rPr>
          <w:rFonts w:ascii="Arial"/>
          <w:color w:val="BF5A14"/>
        </w:rPr>
        <w:t>Biography</w:t>
      </w:r>
      <w:r w:rsidR="00911D1A">
        <w:rPr>
          <w:rFonts w:ascii="Arial"/>
          <w:color w:val="BF5A14"/>
        </w:rPr>
        <w:t xml:space="preserve"> </w:t>
      </w:r>
    </w:p>
    <w:p w:rsidR="00AE3E37" w:rsidRDefault="00A9710C">
      <w:pPr>
        <w:spacing w:before="41" w:line="154" w:lineRule="exact"/>
        <w:ind w:left="213" w:right="231"/>
        <w:jc w:val="both"/>
        <w:rPr>
          <w:rFonts w:ascii="Arial"/>
          <w:sz w:val="14"/>
        </w:rPr>
      </w:pPr>
      <w:r>
        <w:rPr>
          <w:rFonts w:ascii="Arial"/>
          <w:sz w:val="14"/>
        </w:rPr>
        <w:t>D</w:t>
      </w:r>
      <w:r w:rsidR="00911D1A">
        <w:rPr>
          <w:rFonts w:ascii="Arial"/>
          <w:sz w:val="14"/>
        </w:rPr>
        <w:t xml:space="preserve">r. </w:t>
      </w:r>
      <w:proofErr w:type="spellStart"/>
      <w:r w:rsidR="00911D1A">
        <w:rPr>
          <w:rFonts w:ascii="Arial"/>
          <w:sz w:val="14"/>
        </w:rPr>
        <w:t>Genziana</w:t>
      </w:r>
      <w:proofErr w:type="spellEnd"/>
      <w:r w:rsidR="00911D1A">
        <w:rPr>
          <w:rFonts w:ascii="Arial"/>
          <w:sz w:val="14"/>
        </w:rPr>
        <w:t xml:space="preserve"> Lay, </w:t>
      </w:r>
      <w:proofErr w:type="spellStart"/>
      <w:r w:rsidR="00911D1A" w:rsidRPr="00911D1A">
        <w:rPr>
          <w:rFonts w:ascii="Arial"/>
          <w:i/>
          <w:sz w:val="14"/>
        </w:rPr>
        <w:t>M.eD</w:t>
      </w:r>
      <w:proofErr w:type="spellEnd"/>
      <w:r w:rsidR="00911D1A" w:rsidRPr="00911D1A">
        <w:rPr>
          <w:rFonts w:ascii="Arial"/>
          <w:i/>
          <w:sz w:val="14"/>
        </w:rPr>
        <w:t xml:space="preserve">, </w:t>
      </w:r>
      <w:proofErr w:type="spellStart"/>
      <w:r w:rsidR="00911D1A" w:rsidRPr="00911D1A">
        <w:rPr>
          <w:rFonts w:ascii="Arial"/>
          <w:i/>
          <w:sz w:val="14"/>
        </w:rPr>
        <w:t>PsyD</w:t>
      </w:r>
      <w:proofErr w:type="spellEnd"/>
      <w:r w:rsidR="00911D1A" w:rsidRPr="00911D1A">
        <w:rPr>
          <w:rFonts w:ascii="Arial"/>
          <w:i/>
          <w:sz w:val="14"/>
        </w:rPr>
        <w:t xml:space="preserve">, </w:t>
      </w:r>
      <w:proofErr w:type="spellStart"/>
      <w:r w:rsidR="00911D1A" w:rsidRPr="00911D1A">
        <w:rPr>
          <w:rFonts w:ascii="Arial"/>
          <w:i/>
          <w:sz w:val="14"/>
        </w:rPr>
        <w:t>CPsychol</w:t>
      </w:r>
      <w:proofErr w:type="spellEnd"/>
      <w:r w:rsidR="00911D1A">
        <w:rPr>
          <w:rFonts w:ascii="Arial"/>
          <w:sz w:val="14"/>
        </w:rPr>
        <w:t xml:space="preserve"> is a clinical psychologist and psychotherapist licensed in the United States, Italy and United Kingdom. She is currently in private practice, focusing on psychotherapy with individuals and couples with a range of presenting problems. Her expertise includes issues </w:t>
      </w:r>
      <w:r w:rsidR="00BC737E">
        <w:rPr>
          <w:rFonts w:ascii="Arial"/>
          <w:sz w:val="14"/>
        </w:rPr>
        <w:t xml:space="preserve">related to </w:t>
      </w:r>
      <w:r w:rsidR="00911D1A">
        <w:rPr>
          <w:rFonts w:ascii="Arial"/>
          <w:sz w:val="14"/>
        </w:rPr>
        <w:t>trauma/violence, eating disorders, integrated and creative therapies, and post-traumatic stress. She also serves as honorary judge and expert in Juvenile Court in Sassari, Italy. In the past, she has worked in the United States in a university setting, in a public mental health facility, and as a member of numerous task forces. She has developed several therapy techniques and approaches she uses in her practice and has shared her expertise at multiple international conferences in recent years.</w:t>
      </w:r>
    </w:p>
    <w:p w:rsidR="00AE3E37" w:rsidRDefault="00A9710C">
      <w:pPr>
        <w:spacing w:before="62"/>
        <w:ind w:left="4217" w:right="4235"/>
        <w:jc w:val="center"/>
        <w:rPr>
          <w:rFonts w:ascii="Arial"/>
          <w:sz w:val="14"/>
        </w:rPr>
      </w:pPr>
      <w:r>
        <w:rPr>
          <w:rFonts w:ascii="Arial"/>
          <w:sz w:val="14"/>
        </w:rPr>
        <w:t xml:space="preserve">Email: </w:t>
      </w:r>
      <w:r w:rsidR="00AB3C89">
        <w:rPr>
          <w:rFonts w:ascii="Arial"/>
          <w:sz w:val="14"/>
        </w:rPr>
        <w:t>doctoragl@yahoo.com</w:t>
      </w:r>
    </w:p>
    <w:p w:rsidR="00AE3E37" w:rsidRDefault="00292ED9">
      <w:pPr>
        <w:pStyle w:val="BodyText"/>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b/>
          <w:sz w:val="20"/>
        </w:rPr>
      </w:pPr>
    </w:p>
    <w:p w:rsidR="004D5E50" w:rsidRDefault="004D5E50">
      <w:pPr>
        <w:rPr>
          <w:rFonts w:ascii="Minion Pro"/>
          <w:b/>
          <w:sz w:val="20"/>
        </w:rPr>
      </w:pPr>
    </w:p>
    <w:p w:rsidR="004D5E50" w:rsidRDefault="004D5E50">
      <w:pPr>
        <w:rPr>
          <w:rFonts w:ascii="Minion Pro"/>
          <w:sz w:val="24"/>
        </w:rPr>
        <w:sectPr w:rsidR="004D5E50">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210" w:rsidRDefault="00211210">
      <w:r>
        <w:separator/>
      </w:r>
    </w:p>
  </w:endnote>
  <w:endnote w:type="continuationSeparator" w:id="0">
    <w:p w:rsidR="00211210" w:rsidRDefault="00211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14:anchorId="4E43F3F7" wp14:editId="1FF316E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14:anchorId="4BC39E3F" wp14:editId="2A9AC56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0E93FD8D" wp14:editId="5E72CAB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210" w:rsidRDefault="00211210">
      <w:r>
        <w:separator/>
      </w:r>
    </w:p>
  </w:footnote>
  <w:footnote w:type="continuationSeparator" w:id="0">
    <w:p w:rsidR="00211210" w:rsidRDefault="002112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14:anchorId="1776AAFE" wp14:editId="3E8A9BC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42CE2" w:rsidRDefault="00A9710C">
                          <w:pPr>
                            <w:spacing w:before="2" w:line="249" w:lineRule="auto"/>
                            <w:ind w:left="156" w:right="18" w:hanging="137"/>
                            <w:rPr>
                              <w:rFonts w:ascii="Arial"/>
                              <w:color w:val="FFFFFF" w:themeColor="background1"/>
                              <w:sz w:val="14"/>
                              <w:lang w:val="fr-FR"/>
                            </w:rPr>
                          </w:pPr>
                          <w:r w:rsidRPr="00C42CE2">
                            <w:rPr>
                              <w:rFonts w:ascii="Arial"/>
                              <w:color w:val="FFFFFF" w:themeColor="background1"/>
                              <w:sz w:val="14"/>
                              <w:lang w:val="fr-FR"/>
                            </w:rPr>
                            <w:t xml:space="preserve">T Furuta et al., J Pai n Relief 2016, 5:3(Suppl) </w:t>
                          </w:r>
                          <w:r w:rsidR="00211210">
                            <w:fldChar w:fldCharType="begin"/>
                          </w:r>
                          <w:r w:rsidR="00211210" w:rsidRPr="00C42CE2">
                            <w:rPr>
                              <w:lang w:val="fr-FR"/>
                            </w:rPr>
                            <w:instrText xml:space="preserve"> HYPERLINK "http://dx.doi.org/10.4172/2167-0846.C1.006" \h </w:instrText>
                          </w:r>
                          <w:r w:rsidR="00211210">
                            <w:fldChar w:fldCharType="separate"/>
                          </w:r>
                          <w:r w:rsidRPr="00C42CE2">
                            <w:rPr>
                              <w:rFonts w:ascii="Arial"/>
                              <w:color w:val="FFFFFF" w:themeColor="background1"/>
                              <w:sz w:val="14"/>
                              <w:lang w:val="fr-FR"/>
                            </w:rPr>
                            <w:t>http://dx.doi.org/10.4172/2167-0846.C1.006</w:t>
                          </w:r>
                          <w:r w:rsidR="00211210">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C42CE2" w:rsidRDefault="00A9710C">
                    <w:pPr>
                      <w:spacing w:before="2" w:line="249" w:lineRule="auto"/>
                      <w:ind w:left="156" w:right="18" w:hanging="137"/>
                      <w:rPr>
                        <w:rFonts w:ascii="Arial"/>
                        <w:color w:val="FFFFFF" w:themeColor="background1"/>
                        <w:sz w:val="14"/>
                        <w:lang w:val="fr-FR"/>
                      </w:rPr>
                    </w:pPr>
                    <w:r w:rsidRPr="00C42CE2">
                      <w:rPr>
                        <w:rFonts w:ascii="Arial"/>
                        <w:color w:val="FFFFFF" w:themeColor="background1"/>
                        <w:sz w:val="14"/>
                        <w:lang w:val="fr-FR"/>
                      </w:rPr>
                      <w:t xml:space="preserve">T Furuta et al., J Pai n Relief 2016, 5:3(Suppl) </w:t>
                    </w:r>
                    <w:r w:rsidR="00211210">
                      <w:fldChar w:fldCharType="begin"/>
                    </w:r>
                    <w:r w:rsidR="00211210" w:rsidRPr="00C42CE2">
                      <w:rPr>
                        <w:lang w:val="fr-FR"/>
                      </w:rPr>
                      <w:instrText xml:space="preserve"> HYPERLINK "http://dx.doi.org/10.4172/2167-0846.C1.006" \h </w:instrText>
                    </w:r>
                    <w:r w:rsidR="00211210">
                      <w:fldChar w:fldCharType="separate"/>
                    </w:r>
                    <w:r w:rsidRPr="00C42CE2">
                      <w:rPr>
                        <w:rFonts w:ascii="Arial"/>
                        <w:color w:val="FFFFFF" w:themeColor="background1"/>
                        <w:sz w:val="14"/>
                        <w:lang w:val="fr-FR"/>
                      </w:rPr>
                      <w:t>http://dx.doi.org/10.4172/2167-0846.C1.006</w:t>
                    </w:r>
                    <w:r w:rsidR="00211210">
                      <w:rPr>
                        <w:rFonts w:ascii="Arial"/>
                        <w:color w:val="FFFFFF" w:themeColor="background1"/>
                        <w:sz w:val="14"/>
                      </w:rPr>
                      <w:fldChar w:fldCharType="end"/>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14:anchorId="66870266" wp14:editId="6473EC7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11210"/>
    <w:rsid w:val="002455EC"/>
    <w:rsid w:val="00292ED9"/>
    <w:rsid w:val="003F5DFE"/>
    <w:rsid w:val="00404E5B"/>
    <w:rsid w:val="00414F7B"/>
    <w:rsid w:val="004355DC"/>
    <w:rsid w:val="004749B4"/>
    <w:rsid w:val="00494130"/>
    <w:rsid w:val="004D5E50"/>
    <w:rsid w:val="004F3523"/>
    <w:rsid w:val="005973B9"/>
    <w:rsid w:val="005B3A56"/>
    <w:rsid w:val="006060CE"/>
    <w:rsid w:val="0063497F"/>
    <w:rsid w:val="00873DF0"/>
    <w:rsid w:val="008756E6"/>
    <w:rsid w:val="008A08B6"/>
    <w:rsid w:val="00911D1A"/>
    <w:rsid w:val="009B2D44"/>
    <w:rsid w:val="00A07E82"/>
    <w:rsid w:val="00A9710C"/>
    <w:rsid w:val="00AB3C89"/>
    <w:rsid w:val="00AE3E37"/>
    <w:rsid w:val="00B21A57"/>
    <w:rsid w:val="00BC737E"/>
    <w:rsid w:val="00C33602"/>
    <w:rsid w:val="00C42CE2"/>
    <w:rsid w:val="00C7583E"/>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35501">
      <w:bodyDiv w:val="1"/>
      <w:marLeft w:val="0"/>
      <w:marRight w:val="0"/>
      <w:marTop w:val="0"/>
      <w:marBottom w:val="0"/>
      <w:divBdr>
        <w:top w:val="none" w:sz="0" w:space="0" w:color="auto"/>
        <w:left w:val="none" w:sz="0" w:space="0" w:color="auto"/>
        <w:bottom w:val="none" w:sz="0" w:space="0" w:color="auto"/>
        <w:right w:val="none" w:sz="0" w:space="0" w:color="auto"/>
      </w:divBdr>
      <w:divsChild>
        <w:div w:id="271322132">
          <w:marLeft w:val="0"/>
          <w:marRight w:val="0"/>
          <w:marTop w:val="0"/>
          <w:marBottom w:val="0"/>
          <w:divBdr>
            <w:top w:val="none" w:sz="0" w:space="0" w:color="auto"/>
            <w:left w:val="none" w:sz="0" w:space="0" w:color="auto"/>
            <w:bottom w:val="none" w:sz="0" w:space="0" w:color="auto"/>
            <w:right w:val="none" w:sz="0" w:space="0" w:color="auto"/>
          </w:divBdr>
        </w:div>
        <w:div w:id="1898468173">
          <w:marLeft w:val="0"/>
          <w:marRight w:val="0"/>
          <w:marTop w:val="0"/>
          <w:marBottom w:val="0"/>
          <w:divBdr>
            <w:top w:val="none" w:sz="0" w:space="0" w:color="auto"/>
            <w:left w:val="none" w:sz="0" w:space="0" w:color="auto"/>
            <w:bottom w:val="none" w:sz="0" w:space="0" w:color="auto"/>
            <w:right w:val="none" w:sz="0" w:space="0" w:color="auto"/>
          </w:divBdr>
        </w:div>
        <w:div w:id="1446457927">
          <w:marLeft w:val="0"/>
          <w:marRight w:val="0"/>
          <w:marTop w:val="0"/>
          <w:marBottom w:val="0"/>
          <w:divBdr>
            <w:top w:val="none" w:sz="0" w:space="0" w:color="auto"/>
            <w:left w:val="none" w:sz="0" w:space="0" w:color="auto"/>
            <w:bottom w:val="none" w:sz="0" w:space="0" w:color="auto"/>
            <w:right w:val="none" w:sz="0" w:space="0" w:color="auto"/>
          </w:divBdr>
        </w:div>
        <w:div w:id="1446970305">
          <w:marLeft w:val="0"/>
          <w:marRight w:val="0"/>
          <w:marTop w:val="0"/>
          <w:marBottom w:val="0"/>
          <w:divBdr>
            <w:top w:val="none" w:sz="0" w:space="0" w:color="auto"/>
            <w:left w:val="none" w:sz="0" w:space="0" w:color="auto"/>
            <w:bottom w:val="none" w:sz="0" w:space="0" w:color="auto"/>
            <w:right w:val="none" w:sz="0" w:space="0" w:color="auto"/>
          </w:divBdr>
        </w:div>
        <w:div w:id="168449797">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0066784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Utente</cp:lastModifiedBy>
  <cp:revision>2</cp:revision>
  <dcterms:created xsi:type="dcterms:W3CDTF">2017-07-31T17:40:00Z</dcterms:created>
  <dcterms:modified xsi:type="dcterms:W3CDTF">2017-07-31T17:40:00Z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