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E3E37" w:rsidRDefault="00F164B5" w:rsidP="00494130">
      <w:pPr>
        <w:pStyle w:val="Heading1"/>
        <w:spacing w:before="170"/>
        <w:ind w:left="0"/>
      </w:pPr>
      <w:r>
        <w:rPr>
          <w:color w:val="337AB7"/>
        </w:rPr>
        <w:t xml:space="preserve">Food </w:t>
      </w:r>
      <w:r w:rsidR="00B3225C">
        <w:rPr>
          <w:color w:val="337AB7"/>
        </w:rPr>
        <w:t>Intake</w:t>
      </w:r>
      <w:r>
        <w:rPr>
          <w:color w:val="337AB7"/>
        </w:rPr>
        <w:t xml:space="preserve"> Characteristics of </w:t>
      </w:r>
      <w:r w:rsidR="00AD723A">
        <w:rPr>
          <w:color w:val="337AB7"/>
        </w:rPr>
        <w:t xml:space="preserve">End Stage Renal Disease with </w:t>
      </w:r>
      <w:r>
        <w:rPr>
          <w:color w:val="337AB7"/>
        </w:rPr>
        <w:t xml:space="preserve">Hemodialysis Patients </w:t>
      </w:r>
      <w:r w:rsidR="00AD723A">
        <w:rPr>
          <w:color w:val="337AB7"/>
        </w:rPr>
        <w:t>at</w:t>
      </w:r>
      <w:r>
        <w:rPr>
          <w:color w:val="337AB7"/>
        </w:rPr>
        <w:t xml:space="preserve"> </w:t>
      </w:r>
      <w:proofErr w:type="spellStart"/>
      <w:r>
        <w:rPr>
          <w:color w:val="337AB7"/>
        </w:rPr>
        <w:t>Maharaj</w:t>
      </w:r>
      <w:proofErr w:type="spellEnd"/>
      <w:r>
        <w:rPr>
          <w:color w:val="337AB7"/>
        </w:rPr>
        <w:t xml:space="preserve"> </w:t>
      </w:r>
      <w:proofErr w:type="spellStart"/>
      <w:r>
        <w:rPr>
          <w:color w:val="337AB7"/>
        </w:rPr>
        <w:t>Nakorn</w:t>
      </w:r>
      <w:proofErr w:type="spellEnd"/>
      <w:r>
        <w:rPr>
          <w:rFonts w:cstheme="minorBidi" w:hint="cs"/>
          <w:color w:val="337AB7"/>
          <w:szCs w:val="45"/>
          <w:cs/>
          <w:lang w:bidi="th-TH"/>
        </w:rPr>
        <w:t xml:space="preserve"> </w:t>
      </w:r>
      <w:r>
        <w:rPr>
          <w:rFonts w:cstheme="minorBidi"/>
          <w:color w:val="337AB7"/>
          <w:szCs w:val="45"/>
          <w:lang w:bidi="th-TH"/>
        </w:rPr>
        <w:t>Chiang Mai</w:t>
      </w:r>
      <w:r w:rsidR="00286101">
        <w:rPr>
          <w:rFonts w:cstheme="minorBidi"/>
          <w:color w:val="337AB7"/>
          <w:szCs w:val="45"/>
          <w:lang w:bidi="th-TH"/>
        </w:rPr>
        <w:t xml:space="preserve"> Hospital</w:t>
      </w:r>
      <w:r>
        <w:rPr>
          <w:rFonts w:cstheme="minorBidi"/>
          <w:color w:val="337AB7"/>
          <w:szCs w:val="45"/>
          <w:lang w:bidi="th-TH"/>
        </w:rPr>
        <w:t>, Thailand</w:t>
      </w:r>
      <w:r>
        <w:rPr>
          <w:color w:val="337AB7"/>
        </w:rPr>
        <w:t xml:space="preserve"> </w:t>
      </w:r>
    </w:p>
    <w:p w:rsidR="005973B9" w:rsidRPr="00550840" w:rsidRDefault="00070087" w:rsidP="00550840">
      <w:pPr>
        <w:pStyle w:val="BodyText"/>
        <w:ind w:right="5987"/>
      </w:pPr>
      <w:proofErr w:type="spellStart"/>
      <w:r w:rsidRPr="00550840">
        <w:rPr>
          <w:rFonts w:cs="Browallia New"/>
          <w:szCs w:val="22"/>
          <w:lang w:bidi="th-TH"/>
        </w:rPr>
        <w:t>Jukkrit</w:t>
      </w:r>
      <w:proofErr w:type="spellEnd"/>
      <w:r w:rsidRPr="00550840">
        <w:rPr>
          <w:rFonts w:cs="Browallia New"/>
          <w:szCs w:val="22"/>
          <w:lang w:bidi="th-TH"/>
        </w:rPr>
        <w:t xml:space="preserve"> Wungrath</w:t>
      </w:r>
      <w:r w:rsidR="00C01DAA" w:rsidRPr="00550840">
        <w:rPr>
          <w:rFonts w:cs="Browallia New"/>
          <w:szCs w:val="22"/>
          <w:vertAlign w:val="superscript"/>
          <w:lang w:bidi="th-TH"/>
        </w:rPr>
        <w:t>1*</w:t>
      </w:r>
      <w:r w:rsidR="005973B9" w:rsidRPr="00550840">
        <w:t xml:space="preserve">, PhD, </w:t>
      </w:r>
      <w:proofErr w:type="spellStart"/>
      <w:r w:rsidRPr="00550840">
        <w:t>Kittipan</w:t>
      </w:r>
      <w:proofErr w:type="spellEnd"/>
      <w:r w:rsidRPr="00550840">
        <w:t xml:space="preserve"> Rerkkasem</w:t>
      </w:r>
      <w:r w:rsidR="00C01DAA" w:rsidRPr="00550840">
        <w:rPr>
          <w:rFonts w:cs="Browallia New"/>
          <w:szCs w:val="22"/>
          <w:vertAlign w:val="superscript"/>
          <w:lang w:bidi="th-TH"/>
        </w:rPr>
        <w:t>2</w:t>
      </w:r>
      <w:r w:rsidR="00550840">
        <w:t>, MD Ph</w:t>
      </w:r>
      <w:r w:rsidR="00DB4730">
        <w:t>D</w:t>
      </w:r>
      <w:r w:rsidR="00550840">
        <w:t xml:space="preserve">,   </w:t>
      </w:r>
      <w:r w:rsidR="00DB4730">
        <w:t xml:space="preserve"> </w:t>
      </w:r>
      <w:proofErr w:type="spellStart"/>
      <w:r w:rsidR="00550840" w:rsidRPr="00550840">
        <w:t>Orrapin</w:t>
      </w:r>
      <w:proofErr w:type="spellEnd"/>
      <w:r w:rsidR="00550840" w:rsidRPr="00550840">
        <w:t xml:space="preserve"> Pongtam</w:t>
      </w:r>
      <w:r w:rsidR="00550840" w:rsidRPr="00550840">
        <w:rPr>
          <w:rFonts w:cs="Browallia New"/>
          <w:szCs w:val="22"/>
          <w:vertAlign w:val="superscript"/>
          <w:lang w:bidi="th-TH"/>
        </w:rPr>
        <w:t>2</w:t>
      </w:r>
      <w:r w:rsidR="00DB4730">
        <w:t>, MSc</w:t>
      </w:r>
      <w:r w:rsidR="00550840">
        <w:t xml:space="preserve"> and </w:t>
      </w:r>
      <w:proofErr w:type="spellStart"/>
      <w:r w:rsidR="00550840">
        <w:t>Nipaporn</w:t>
      </w:r>
      <w:proofErr w:type="spellEnd"/>
      <w:r w:rsidR="00550840">
        <w:t xml:space="preserve"> Pinmars</w:t>
      </w:r>
      <w:r w:rsidR="00550840">
        <w:rPr>
          <w:rFonts w:cs="Browallia New"/>
          <w:szCs w:val="22"/>
          <w:vertAlign w:val="superscript"/>
          <w:lang w:bidi="th-TH"/>
        </w:rPr>
        <w:t>3</w:t>
      </w:r>
      <w:r w:rsidR="00DB4730">
        <w:t>, M</w:t>
      </w:r>
      <w:r w:rsidR="00550840" w:rsidRPr="00550840">
        <w:t>Sc.</w:t>
      </w:r>
      <w:bookmarkStart w:id="0" w:name="_GoBack"/>
      <w:bookmarkEnd w:id="0"/>
    </w:p>
    <w:p w:rsidR="00286101" w:rsidRPr="00550840" w:rsidRDefault="00286101" w:rsidP="00550840">
      <w:pPr>
        <w:pStyle w:val="BodyText"/>
        <w:rPr>
          <w:rFonts w:cs="TH SarabunPSK"/>
        </w:rPr>
      </w:pPr>
      <w:r w:rsidRPr="00550840">
        <w:rPr>
          <w:rFonts w:cs="TH SarabunPSK"/>
          <w:vertAlign w:val="superscript"/>
          <w:cs/>
        </w:rPr>
        <w:t>1</w:t>
      </w:r>
      <w:r w:rsidRPr="00550840">
        <w:rPr>
          <w:rFonts w:cs="TH SarabunPSK"/>
        </w:rPr>
        <w:t>Faculty of Public Health, Chiang Mai University, Thailand</w:t>
      </w:r>
    </w:p>
    <w:p w:rsidR="00286101" w:rsidRDefault="00286101" w:rsidP="00550840">
      <w:pPr>
        <w:rPr>
          <w:rFonts w:cs="TH SarabunPSK"/>
          <w:sz w:val="18"/>
          <w:szCs w:val="18"/>
        </w:rPr>
      </w:pPr>
      <w:r w:rsidRPr="00550840">
        <w:rPr>
          <w:rFonts w:cs="TH SarabunPSK"/>
          <w:sz w:val="18"/>
          <w:szCs w:val="18"/>
          <w:vertAlign w:val="superscript"/>
          <w:cs/>
        </w:rPr>
        <w:t>2</w:t>
      </w:r>
      <w:r w:rsidRPr="00550840">
        <w:rPr>
          <w:rFonts w:cs="TH SarabunPSK"/>
          <w:sz w:val="18"/>
          <w:szCs w:val="18"/>
        </w:rPr>
        <w:t>Faculty of Medicine, Chiang Mai University, Thailand</w:t>
      </w:r>
    </w:p>
    <w:p w:rsidR="00550840" w:rsidRPr="00550840" w:rsidRDefault="00550840" w:rsidP="00550840">
      <w:pPr>
        <w:rPr>
          <w:rFonts w:cs="TH SarabunPSK"/>
          <w:sz w:val="18"/>
          <w:szCs w:val="18"/>
        </w:rPr>
      </w:pPr>
      <w:r>
        <w:rPr>
          <w:rFonts w:cs="TH SarabunPSK"/>
          <w:sz w:val="18"/>
          <w:szCs w:val="18"/>
          <w:vertAlign w:val="superscript"/>
        </w:rPr>
        <w:t>3</w:t>
      </w:r>
      <w:r>
        <w:rPr>
          <w:rFonts w:cs="TH SarabunPSK"/>
          <w:sz w:val="18"/>
          <w:szCs w:val="18"/>
        </w:rPr>
        <w:t>Research Institute of Health</w:t>
      </w:r>
      <w:r w:rsidRPr="00550840">
        <w:rPr>
          <w:rFonts w:cs="TH SarabunPSK"/>
          <w:sz w:val="18"/>
          <w:szCs w:val="18"/>
        </w:rPr>
        <w:t>, Chiang Mai University, Thailand</w:t>
      </w:r>
    </w:p>
    <w:p w:rsidR="00AE3E37" w:rsidRDefault="00286101" w:rsidP="00550840">
      <w:pPr>
        <w:pStyle w:val="BodyText"/>
        <w:rPr>
          <w:rFonts w:ascii="Arial"/>
          <w:sz w:val="21"/>
        </w:rPr>
      </w:pPr>
      <w:r w:rsidRPr="00550840">
        <w:rPr>
          <w:rFonts w:cs="TH SarabunPSK"/>
        </w:rPr>
        <w:t>*Corresponding author</w:t>
      </w:r>
      <w:r>
        <w:rPr>
          <w:rFonts w:ascii="TH SarabunPSK" w:hAnsi="TH SarabunPSK" w:cs="TH SarabunPSK"/>
          <w:sz w:val="24"/>
          <w:szCs w:val="24"/>
          <w:cs/>
        </w:rPr>
        <w:br/>
      </w:r>
    </w:p>
    <w:p w:rsidR="00AE3E37" w:rsidRDefault="00AE3E37">
      <w:pPr>
        <w:rPr>
          <w:rFonts w:ascii="Arial"/>
          <w:sz w:val="21"/>
        </w:rPr>
        <w:sectPr w:rsidR="00AE3E37">
          <w:headerReference w:type="default" r:id="rId7"/>
          <w:footerReference w:type="default" r:id="rId8"/>
          <w:type w:val="continuous"/>
          <w:pgSz w:w="11910" w:h="16840"/>
          <w:pgMar w:top="1740" w:right="600" w:bottom="840" w:left="620" w:header="541" w:footer="642" w:gutter="0"/>
          <w:cols w:space="720"/>
        </w:sectPr>
      </w:pPr>
    </w:p>
    <w:p w:rsidR="00AE3E37" w:rsidRPr="0075552B" w:rsidRDefault="00A9710C" w:rsidP="00E93224">
      <w:pPr>
        <w:pStyle w:val="Heading3"/>
        <w:spacing w:before="147"/>
        <w:ind w:left="0"/>
        <w:jc w:val="both"/>
        <w:rPr>
          <w:rFonts w:cstheme="minorBidi" w:hint="cs"/>
          <w:szCs w:val="25"/>
          <w:cs/>
          <w:lang w:bidi="th-TH"/>
        </w:rPr>
      </w:pPr>
      <w:r>
        <w:rPr>
          <w:color w:val="BF5A14"/>
        </w:rPr>
        <w:lastRenderedPageBreak/>
        <w:t>Abstract</w:t>
      </w:r>
      <w:r w:rsidR="00404E5B">
        <w:rPr>
          <w:color w:val="BF5A14"/>
        </w:rPr>
        <w:t xml:space="preserve"> </w:t>
      </w:r>
    </w:p>
    <w:p w:rsidR="00E93224" w:rsidRPr="00961142" w:rsidRDefault="00E93224" w:rsidP="00E93224">
      <w:pPr>
        <w:jc w:val="thaiDistribute"/>
        <w:rPr>
          <w:sz w:val="18"/>
          <w:szCs w:val="18"/>
        </w:rPr>
      </w:pPr>
      <w:r w:rsidRPr="00961142">
        <w:rPr>
          <w:sz w:val="18"/>
          <w:szCs w:val="18"/>
          <w:u w:val="single"/>
        </w:rPr>
        <w:t>Statement of the Problem</w:t>
      </w:r>
      <w:r w:rsidRPr="00961142">
        <w:rPr>
          <w:sz w:val="18"/>
          <w:szCs w:val="18"/>
        </w:rPr>
        <w:t>: End-stage renal disease (ESRD) is one in all the foremost common chronic diseases. The mortality and morbidity rate in ESRD patients is unacceptably high. Malnutrition occurs at high prevalence in conjunction with ESRD patients who undergo maintenance hemodialysis (HD) treatment and may be a risk factor for increased morbidity and mortality in these patients.  The aim of the present study was to investigate the</w:t>
      </w:r>
      <w:r w:rsidRPr="00961142">
        <w:rPr>
          <w:sz w:val="18"/>
          <w:szCs w:val="18"/>
          <w:rtl/>
          <w:cs/>
        </w:rPr>
        <w:t xml:space="preserve"> </w:t>
      </w:r>
      <w:r w:rsidRPr="00961142">
        <w:rPr>
          <w:sz w:val="18"/>
          <w:szCs w:val="18"/>
        </w:rPr>
        <w:t xml:space="preserve">food intake of elderly patients on HD at </w:t>
      </w:r>
      <w:proofErr w:type="spellStart"/>
      <w:r w:rsidRPr="00961142">
        <w:rPr>
          <w:sz w:val="18"/>
          <w:szCs w:val="18"/>
        </w:rPr>
        <w:t>Maharaj</w:t>
      </w:r>
      <w:proofErr w:type="spellEnd"/>
      <w:r w:rsidRPr="00961142">
        <w:rPr>
          <w:sz w:val="18"/>
          <w:szCs w:val="18"/>
        </w:rPr>
        <w:t xml:space="preserve"> </w:t>
      </w:r>
      <w:proofErr w:type="spellStart"/>
      <w:r w:rsidRPr="00961142">
        <w:rPr>
          <w:sz w:val="18"/>
          <w:szCs w:val="18"/>
        </w:rPr>
        <w:t>Nakorn</w:t>
      </w:r>
      <w:proofErr w:type="spellEnd"/>
      <w:r w:rsidRPr="00961142">
        <w:rPr>
          <w:sz w:val="18"/>
          <w:szCs w:val="18"/>
        </w:rPr>
        <w:t xml:space="preserve"> Chiang Mai Hospital, Thailand.</w:t>
      </w:r>
      <w:r w:rsidRPr="00961142">
        <w:rPr>
          <w:sz w:val="18"/>
          <w:szCs w:val="18"/>
          <w:rtl/>
          <w:cs/>
        </w:rPr>
        <w:t xml:space="preserve"> </w:t>
      </w:r>
      <w:r w:rsidRPr="00961142">
        <w:rPr>
          <w:sz w:val="18"/>
          <w:szCs w:val="18"/>
        </w:rPr>
        <w:t>This study aimed to investigate food intake in HD patients and compared it with the recommendation</w:t>
      </w:r>
      <w:r w:rsidR="0075552B">
        <w:rPr>
          <w:rFonts w:cstheme="minorBidi"/>
          <w:sz w:val="18"/>
          <w:lang w:bidi="th-TH"/>
        </w:rPr>
        <w:t xml:space="preserve"> of Nephrology Society of Thailand</w:t>
      </w:r>
      <w:r w:rsidRPr="00961142">
        <w:rPr>
          <w:sz w:val="18"/>
          <w:szCs w:val="18"/>
        </w:rPr>
        <w:t>.</w:t>
      </w:r>
      <w:r w:rsidRPr="00961142">
        <w:rPr>
          <w:sz w:val="18"/>
          <w:szCs w:val="18"/>
          <w:u w:val="single"/>
        </w:rPr>
        <w:t xml:space="preserve"> Methodology &amp; Theoretical Orientation</w:t>
      </w:r>
      <w:r w:rsidRPr="00961142">
        <w:rPr>
          <w:sz w:val="18"/>
          <w:szCs w:val="18"/>
        </w:rPr>
        <w:t xml:space="preserve">: A cross - sectional survey on one hundred and twenty HD patients were studied. There were 54 males and 66 females whose average age was 61.80 years old. </w:t>
      </w:r>
      <w:r w:rsidRPr="00961142">
        <w:rPr>
          <w:rStyle w:val="A7"/>
        </w:rPr>
        <w:t>Subjects had body mass index (BMI) less than 18.5 kg/ m</w:t>
      </w:r>
      <w:r w:rsidRPr="00961142">
        <w:rPr>
          <w:rStyle w:val="A7"/>
          <w:vertAlign w:val="superscript"/>
        </w:rPr>
        <w:t>2</w:t>
      </w:r>
      <w:r w:rsidRPr="00961142">
        <w:rPr>
          <w:rStyle w:val="A7"/>
        </w:rPr>
        <w:t>, 18.5≥ BMI &lt; 24.99 kg/ m</w:t>
      </w:r>
      <w:r w:rsidRPr="00961142">
        <w:rPr>
          <w:rStyle w:val="A7"/>
          <w:vertAlign w:val="superscript"/>
        </w:rPr>
        <w:t xml:space="preserve">2 </w:t>
      </w:r>
      <w:r w:rsidRPr="00961142">
        <w:rPr>
          <w:rStyle w:val="A7"/>
        </w:rPr>
        <w:t>and BMI ≥ 25 kg/ m</w:t>
      </w:r>
      <w:r w:rsidRPr="00961142">
        <w:rPr>
          <w:rStyle w:val="A7"/>
          <w:vertAlign w:val="superscript"/>
        </w:rPr>
        <w:t xml:space="preserve">2 </w:t>
      </w:r>
      <w:r w:rsidRPr="00961142">
        <w:rPr>
          <w:rStyle w:val="A7"/>
        </w:rPr>
        <w:t xml:space="preserve">percentage of 16.27, 58.14 and 25.59, respectively. </w:t>
      </w:r>
      <w:r w:rsidRPr="00961142">
        <w:rPr>
          <w:sz w:val="18"/>
          <w:szCs w:val="18"/>
        </w:rPr>
        <w:t xml:space="preserve"> Food intake were collected using Easy Dietary Assessment (EDA) tools. </w:t>
      </w:r>
      <w:r w:rsidRPr="00961142">
        <w:rPr>
          <w:sz w:val="18"/>
          <w:szCs w:val="18"/>
          <w:u w:val="single"/>
        </w:rPr>
        <w:t>Findings</w:t>
      </w:r>
      <w:r w:rsidRPr="00961142">
        <w:rPr>
          <w:sz w:val="18"/>
          <w:szCs w:val="18"/>
        </w:rPr>
        <w:t xml:space="preserve">: Protein, energy, </w:t>
      </w:r>
      <w:r w:rsidRPr="00961142">
        <w:rPr>
          <w:rFonts w:cs="TH Niramit AS"/>
          <w:sz w:val="18"/>
          <w:szCs w:val="18"/>
        </w:rPr>
        <w:t>fat distribution, cholesterol and dietary fiber</w:t>
      </w:r>
      <w:r w:rsidRPr="00961142">
        <w:rPr>
          <w:sz w:val="18"/>
          <w:szCs w:val="18"/>
        </w:rPr>
        <w:t xml:space="preserve"> recommendations among HD patients were 1.0-1.5 g/kg/day, 30-35 kilocalories (kcal)/kg/day. 25-35%/day, &lt;200</w:t>
      </w:r>
      <w:r w:rsidRPr="00961142">
        <w:rPr>
          <w:rFonts w:cs="TH Niramit AS"/>
          <w:sz w:val="18"/>
          <w:szCs w:val="18"/>
        </w:rPr>
        <w:t xml:space="preserve"> mg/day and 20-30 g/day.</w:t>
      </w:r>
      <w:r w:rsidRPr="00961142">
        <w:rPr>
          <w:sz w:val="18"/>
          <w:szCs w:val="18"/>
        </w:rPr>
        <w:t xml:space="preserve"> </w:t>
      </w:r>
      <w:r w:rsidRPr="00961142">
        <w:rPr>
          <w:rStyle w:val="A7"/>
        </w:rPr>
        <w:t xml:space="preserve">The average </w:t>
      </w:r>
      <w:r w:rsidRPr="00961142">
        <w:rPr>
          <w:sz w:val="18"/>
          <w:szCs w:val="18"/>
        </w:rPr>
        <w:t xml:space="preserve">Protein, energy, </w:t>
      </w:r>
      <w:r w:rsidRPr="00961142">
        <w:rPr>
          <w:rFonts w:cs="TH Niramit AS"/>
          <w:sz w:val="18"/>
          <w:szCs w:val="18"/>
        </w:rPr>
        <w:t>fat distribution, cholesterol and dietary fiber</w:t>
      </w:r>
      <w:r w:rsidRPr="00961142">
        <w:rPr>
          <w:sz w:val="18"/>
          <w:szCs w:val="18"/>
        </w:rPr>
        <w:t xml:space="preserve"> </w:t>
      </w:r>
      <w:r w:rsidRPr="00961142">
        <w:rPr>
          <w:rStyle w:val="A7"/>
        </w:rPr>
        <w:t xml:space="preserve">intake of samples were 0.89 ± 0.58 g/kg/day, </w:t>
      </w:r>
      <w:r w:rsidRPr="00961142">
        <w:rPr>
          <w:rFonts w:cs="TH Niramit AS"/>
          <w:sz w:val="18"/>
          <w:szCs w:val="18"/>
        </w:rPr>
        <w:t xml:space="preserve">21.23 ± 10.11 </w:t>
      </w:r>
      <w:r w:rsidRPr="00961142">
        <w:rPr>
          <w:rStyle w:val="A7"/>
        </w:rPr>
        <w:t xml:space="preserve">kcal/kg/day, </w:t>
      </w:r>
      <w:r w:rsidRPr="00961142">
        <w:rPr>
          <w:rFonts w:cs="TH Niramit AS"/>
          <w:sz w:val="18"/>
          <w:szCs w:val="18"/>
        </w:rPr>
        <w:t>39.15 ± 10.21</w:t>
      </w:r>
      <w:r w:rsidRPr="00961142">
        <w:rPr>
          <w:sz w:val="18"/>
          <w:szCs w:val="18"/>
        </w:rPr>
        <w:t>%/day</w:t>
      </w:r>
      <w:r w:rsidRPr="00961142">
        <w:rPr>
          <w:rFonts w:cs="TH Niramit AS"/>
          <w:sz w:val="18"/>
          <w:szCs w:val="18"/>
        </w:rPr>
        <w:t xml:space="preserve">, </w:t>
      </w:r>
      <w:r w:rsidRPr="00961142">
        <w:rPr>
          <w:rStyle w:val="A7"/>
        </w:rPr>
        <w:t xml:space="preserve">  </w:t>
      </w:r>
      <w:r w:rsidRPr="00961142">
        <w:rPr>
          <w:rFonts w:cs="TH Niramit AS"/>
          <w:sz w:val="18"/>
          <w:szCs w:val="18"/>
        </w:rPr>
        <w:t xml:space="preserve">220.50 ± 21.04 mg/day and 12.85 ± 3.66 g/day, </w:t>
      </w:r>
      <w:r w:rsidRPr="00961142">
        <w:rPr>
          <w:rStyle w:val="A7"/>
        </w:rPr>
        <w:t>respectively.</w:t>
      </w:r>
      <w:r w:rsidRPr="00961142">
        <w:rPr>
          <w:rStyle w:val="A7"/>
          <w:rFonts w:cstheme="minorBidi"/>
          <w:rtl/>
          <w:cs/>
        </w:rPr>
        <w:t xml:space="preserve"> </w:t>
      </w:r>
      <w:r w:rsidRPr="00961142">
        <w:rPr>
          <w:sz w:val="18"/>
          <w:szCs w:val="18"/>
          <w:u w:val="single"/>
        </w:rPr>
        <w:t>Conclusion:</w:t>
      </w:r>
      <w:r w:rsidRPr="00961142">
        <w:rPr>
          <w:sz w:val="18"/>
          <w:szCs w:val="18"/>
        </w:rPr>
        <w:t xml:space="preserve"> These investigation indicate that HD patients had lower intake of energy, protein and dietary fiber.  Moreover, the daily intake of fat and cholesterol was higher compared with recommendation. Therefore, EDA can be used as an easy and rapid tool in investigate food intake. It can also be used as a guide for appropriate food consumption counseling in order to prevent malnutrition.</w:t>
      </w:r>
    </w:p>
    <w:p w:rsidR="00AE3E37" w:rsidRPr="00C01DAA" w:rsidRDefault="00A9710C" w:rsidP="00C01DAA">
      <w:pPr>
        <w:pStyle w:val="Heading3"/>
        <w:spacing w:before="74"/>
        <w:rPr>
          <w:b w:val="0"/>
        </w:rPr>
      </w:pPr>
      <w:r>
        <w:rPr>
          <w:b w:val="0"/>
        </w:rPr>
        <w:br w:type="column"/>
      </w:r>
    </w:p>
    <w:p w:rsidR="00171852" w:rsidRDefault="00C01DAA" w:rsidP="00FC06F7">
      <w:pPr>
        <w:spacing w:line="204" w:lineRule="exact"/>
        <w:rPr>
          <w:rFonts w:ascii="Arial"/>
          <w:b/>
          <w:color w:val="BF5A14"/>
          <w:sz w:val="20"/>
        </w:rPr>
      </w:pPr>
      <w:r>
        <w:rPr>
          <w:rFonts w:ascii="Arial"/>
          <w:b/>
          <w:sz w:val="16"/>
          <w:szCs w:val="18"/>
        </w:rPr>
        <w:t xml:space="preserve"> </w:t>
      </w:r>
      <w:r w:rsidR="00171852">
        <w:rPr>
          <w:rFonts w:ascii="Arial"/>
          <w:b/>
          <w:color w:val="BF5A14"/>
          <w:sz w:val="20"/>
        </w:rPr>
        <w:t xml:space="preserve">Food Intake Component Comparison with   </w:t>
      </w:r>
    </w:p>
    <w:p w:rsidR="005973B9" w:rsidRDefault="00171852" w:rsidP="00FC06F7">
      <w:pPr>
        <w:spacing w:line="204" w:lineRule="exact"/>
        <w:rPr>
          <w:rFonts w:ascii="Arial"/>
          <w:b/>
          <w:color w:val="BF5A14"/>
          <w:sz w:val="20"/>
        </w:rPr>
      </w:pPr>
      <w:r>
        <w:rPr>
          <w:rFonts w:ascii="Arial"/>
          <w:b/>
          <w:color w:val="BF5A14"/>
          <w:sz w:val="20"/>
        </w:rPr>
        <w:t xml:space="preserve"> Recommendation in HD Patients</w:t>
      </w:r>
    </w:p>
    <w:tbl>
      <w:tblPr>
        <w:tblpPr w:leftFromText="180" w:rightFromText="180" w:vertAnchor="text" w:horzAnchor="margin" w:tblpXSpec="right" w:tblpY="28"/>
        <w:tblW w:w="5245" w:type="dxa"/>
        <w:tblBorders>
          <w:top w:val="single" w:sz="4" w:space="0" w:color="auto"/>
          <w:bottom w:val="single" w:sz="4" w:space="0" w:color="auto"/>
        </w:tblBorders>
        <w:tblLayout w:type="fixed"/>
        <w:tblLook w:val="04A0" w:firstRow="1" w:lastRow="0" w:firstColumn="1" w:lastColumn="0" w:noHBand="0" w:noVBand="1"/>
      </w:tblPr>
      <w:tblGrid>
        <w:gridCol w:w="1980"/>
        <w:gridCol w:w="1701"/>
        <w:gridCol w:w="1564"/>
      </w:tblGrid>
      <w:tr w:rsidR="00171852" w:rsidRPr="00FE0B97" w:rsidTr="00171852">
        <w:trPr>
          <w:trHeight w:val="223"/>
          <w:tblHeader/>
        </w:trPr>
        <w:tc>
          <w:tcPr>
            <w:tcW w:w="1980" w:type="dxa"/>
            <w:tcBorders>
              <w:top w:val="single" w:sz="4" w:space="0" w:color="auto"/>
              <w:bottom w:val="single" w:sz="4" w:space="0" w:color="auto"/>
            </w:tcBorders>
            <w:vAlign w:val="center"/>
          </w:tcPr>
          <w:p w:rsidR="00171852" w:rsidRPr="00FE0B97" w:rsidRDefault="00171852" w:rsidP="00171852">
            <w:pPr>
              <w:spacing w:before="100" w:beforeAutospacing="1" w:after="100" w:afterAutospacing="1"/>
              <w:jc w:val="center"/>
              <w:rPr>
                <w:rFonts w:cs="TH Niramit AS"/>
                <w:b/>
                <w:bCs/>
                <w:sz w:val="18"/>
                <w:szCs w:val="18"/>
              </w:rPr>
            </w:pPr>
            <w:r>
              <w:rPr>
                <w:rFonts w:cs="TH Niramit AS"/>
                <w:b/>
                <w:bCs/>
                <w:sz w:val="18"/>
                <w:szCs w:val="18"/>
              </w:rPr>
              <w:t>Variable</w:t>
            </w:r>
          </w:p>
        </w:tc>
        <w:tc>
          <w:tcPr>
            <w:tcW w:w="1701" w:type="dxa"/>
            <w:tcBorders>
              <w:top w:val="single" w:sz="4" w:space="0" w:color="auto"/>
              <w:bottom w:val="single" w:sz="4" w:space="0" w:color="auto"/>
            </w:tcBorders>
            <w:vAlign w:val="center"/>
          </w:tcPr>
          <w:p w:rsidR="00171852" w:rsidRPr="00FE0B97" w:rsidRDefault="00171852" w:rsidP="00171852">
            <w:pPr>
              <w:spacing w:before="100" w:beforeAutospacing="1" w:after="100" w:afterAutospacing="1"/>
              <w:jc w:val="center"/>
              <w:rPr>
                <w:rFonts w:cs="TH Niramit AS"/>
                <w:b/>
                <w:bCs/>
                <w:sz w:val="18"/>
                <w:szCs w:val="18"/>
              </w:rPr>
            </w:pPr>
            <w:r w:rsidRPr="00FE0B97">
              <w:rPr>
                <w:rFonts w:cs="TH Niramit AS"/>
                <w:b/>
                <w:bCs/>
                <w:sz w:val="18"/>
                <w:szCs w:val="18"/>
              </w:rPr>
              <w:t>Initial</w:t>
            </w:r>
          </w:p>
        </w:tc>
        <w:tc>
          <w:tcPr>
            <w:tcW w:w="1564" w:type="dxa"/>
            <w:tcBorders>
              <w:top w:val="single" w:sz="4" w:space="0" w:color="auto"/>
              <w:bottom w:val="single" w:sz="4" w:space="0" w:color="auto"/>
            </w:tcBorders>
          </w:tcPr>
          <w:p w:rsidR="00171852" w:rsidRPr="00FE0B97" w:rsidRDefault="00171852" w:rsidP="00171852">
            <w:pPr>
              <w:spacing w:before="100" w:beforeAutospacing="1" w:after="100" w:afterAutospacing="1"/>
              <w:jc w:val="center"/>
              <w:rPr>
                <w:rFonts w:cs="TH Niramit AS"/>
                <w:b/>
                <w:bCs/>
                <w:sz w:val="18"/>
                <w:szCs w:val="18"/>
              </w:rPr>
            </w:pPr>
            <w:r w:rsidRPr="00FE0B97">
              <w:rPr>
                <w:rFonts w:cs="TH Niramit AS"/>
                <w:b/>
                <w:bCs/>
                <w:sz w:val="18"/>
                <w:szCs w:val="18"/>
              </w:rPr>
              <w:t>Recommendation</w:t>
            </w:r>
          </w:p>
        </w:tc>
      </w:tr>
      <w:tr w:rsidR="00171852" w:rsidRPr="00FE0B97" w:rsidTr="00171852">
        <w:trPr>
          <w:trHeight w:val="321"/>
        </w:trPr>
        <w:tc>
          <w:tcPr>
            <w:tcW w:w="1980" w:type="dxa"/>
            <w:tcBorders>
              <w:top w:val="single" w:sz="4" w:space="0" w:color="auto"/>
            </w:tcBorders>
            <w:vAlign w:val="bottom"/>
          </w:tcPr>
          <w:p w:rsidR="00171852" w:rsidRPr="00FE0B97" w:rsidRDefault="00171852" w:rsidP="00171852">
            <w:pPr>
              <w:spacing w:before="100" w:beforeAutospacing="1" w:after="100" w:afterAutospacing="1"/>
              <w:rPr>
                <w:rFonts w:cs="TH Niramit AS"/>
                <w:sz w:val="18"/>
                <w:szCs w:val="18"/>
              </w:rPr>
            </w:pPr>
            <w:r w:rsidRPr="00FE0B97">
              <w:rPr>
                <w:rFonts w:cs="TH Niramit AS"/>
                <w:sz w:val="18"/>
                <w:szCs w:val="18"/>
              </w:rPr>
              <w:t>Energy, kcal/kg/day</w:t>
            </w:r>
          </w:p>
        </w:tc>
        <w:tc>
          <w:tcPr>
            <w:tcW w:w="1701" w:type="dxa"/>
            <w:tcBorders>
              <w:top w:val="single" w:sz="4" w:space="0" w:color="auto"/>
            </w:tcBorders>
            <w:vAlign w:val="bottom"/>
          </w:tcPr>
          <w:p w:rsidR="00171852" w:rsidRPr="00FE0B97" w:rsidRDefault="00171852" w:rsidP="00171852">
            <w:pPr>
              <w:spacing w:before="100" w:beforeAutospacing="1" w:after="100" w:afterAutospacing="1"/>
              <w:rPr>
                <w:rFonts w:cs="TH Niramit AS"/>
                <w:sz w:val="18"/>
                <w:szCs w:val="18"/>
              </w:rPr>
            </w:pPr>
            <w:r w:rsidRPr="00FE0B97">
              <w:rPr>
                <w:rFonts w:cs="TH Niramit AS"/>
                <w:sz w:val="18"/>
                <w:szCs w:val="18"/>
              </w:rPr>
              <w:t>21.23 ± 10.11</w:t>
            </w:r>
          </w:p>
        </w:tc>
        <w:tc>
          <w:tcPr>
            <w:tcW w:w="1564" w:type="dxa"/>
            <w:tcBorders>
              <w:top w:val="single" w:sz="4" w:space="0" w:color="auto"/>
            </w:tcBorders>
            <w:vAlign w:val="bottom"/>
          </w:tcPr>
          <w:p w:rsidR="00171852" w:rsidRPr="00FE0B97" w:rsidRDefault="00171852" w:rsidP="00171852">
            <w:pPr>
              <w:spacing w:before="100" w:beforeAutospacing="1" w:after="100" w:afterAutospacing="1"/>
              <w:rPr>
                <w:rFonts w:cs="TH Niramit AS"/>
                <w:sz w:val="18"/>
                <w:szCs w:val="18"/>
              </w:rPr>
            </w:pPr>
            <w:r w:rsidRPr="00FE0B97">
              <w:rPr>
                <w:rFonts w:cs="TH Niramit AS"/>
                <w:sz w:val="18"/>
                <w:szCs w:val="18"/>
              </w:rPr>
              <w:t>30-35</w:t>
            </w:r>
          </w:p>
        </w:tc>
      </w:tr>
      <w:tr w:rsidR="00171852" w:rsidRPr="00FE0B97" w:rsidTr="00171852">
        <w:trPr>
          <w:trHeight w:val="258"/>
        </w:trPr>
        <w:tc>
          <w:tcPr>
            <w:tcW w:w="1980" w:type="dxa"/>
            <w:vAlign w:val="bottom"/>
          </w:tcPr>
          <w:p w:rsidR="00171852" w:rsidRPr="00FE0B97" w:rsidRDefault="00171852" w:rsidP="00171852">
            <w:pPr>
              <w:spacing w:before="100" w:beforeAutospacing="1" w:after="100" w:afterAutospacing="1"/>
              <w:rPr>
                <w:rFonts w:cs="TH Niramit AS"/>
                <w:sz w:val="18"/>
                <w:szCs w:val="18"/>
              </w:rPr>
            </w:pPr>
            <w:r w:rsidRPr="00FE0B97">
              <w:rPr>
                <w:rFonts w:cs="TH Niramit AS"/>
                <w:sz w:val="18"/>
                <w:szCs w:val="18"/>
              </w:rPr>
              <w:t>Protein, g/kg/day</w:t>
            </w:r>
          </w:p>
        </w:tc>
        <w:tc>
          <w:tcPr>
            <w:tcW w:w="1701" w:type="dxa"/>
            <w:vAlign w:val="bottom"/>
          </w:tcPr>
          <w:p w:rsidR="00171852" w:rsidRPr="00FE0B97" w:rsidRDefault="00171852" w:rsidP="00171852">
            <w:pPr>
              <w:spacing w:before="100" w:beforeAutospacing="1" w:after="100" w:afterAutospacing="1"/>
              <w:rPr>
                <w:rFonts w:cs="TH Niramit AS"/>
                <w:sz w:val="18"/>
                <w:szCs w:val="18"/>
              </w:rPr>
            </w:pPr>
            <w:r w:rsidRPr="00FE0B97">
              <w:rPr>
                <w:rFonts w:cs="TH Niramit AS"/>
                <w:sz w:val="18"/>
                <w:szCs w:val="18"/>
              </w:rPr>
              <w:t>0.89 ± 0680</w:t>
            </w:r>
          </w:p>
        </w:tc>
        <w:tc>
          <w:tcPr>
            <w:tcW w:w="1564" w:type="dxa"/>
            <w:vAlign w:val="bottom"/>
          </w:tcPr>
          <w:p w:rsidR="00171852" w:rsidRPr="00FE0B97" w:rsidRDefault="00171852" w:rsidP="00171852">
            <w:pPr>
              <w:spacing w:before="100" w:beforeAutospacing="1" w:after="100" w:afterAutospacing="1"/>
              <w:rPr>
                <w:rFonts w:cs="TH Niramit AS"/>
                <w:sz w:val="18"/>
                <w:szCs w:val="18"/>
              </w:rPr>
            </w:pPr>
            <w:r w:rsidRPr="00FE0B97">
              <w:rPr>
                <w:rFonts w:cs="TH Niramit AS"/>
                <w:sz w:val="18"/>
                <w:szCs w:val="18"/>
              </w:rPr>
              <w:t>1.1-1.4</w:t>
            </w:r>
          </w:p>
        </w:tc>
      </w:tr>
      <w:tr w:rsidR="00171852" w:rsidRPr="00FE0B97" w:rsidTr="00171852">
        <w:trPr>
          <w:trHeight w:val="258"/>
        </w:trPr>
        <w:tc>
          <w:tcPr>
            <w:tcW w:w="1980" w:type="dxa"/>
            <w:vAlign w:val="bottom"/>
          </w:tcPr>
          <w:p w:rsidR="00171852" w:rsidRPr="00FE0B97" w:rsidRDefault="00171852" w:rsidP="00171852">
            <w:pPr>
              <w:spacing w:before="100" w:beforeAutospacing="1" w:after="100" w:afterAutospacing="1"/>
              <w:rPr>
                <w:rFonts w:cs="TH Niramit AS"/>
                <w:sz w:val="18"/>
                <w:szCs w:val="18"/>
              </w:rPr>
            </w:pPr>
            <w:r w:rsidRPr="00FE0B97">
              <w:rPr>
                <w:rFonts w:cs="TH Niramit AS"/>
                <w:sz w:val="18"/>
                <w:szCs w:val="18"/>
              </w:rPr>
              <w:t>Carbohydrate distribution, %/day</w:t>
            </w:r>
          </w:p>
        </w:tc>
        <w:tc>
          <w:tcPr>
            <w:tcW w:w="1701" w:type="dxa"/>
            <w:vAlign w:val="bottom"/>
          </w:tcPr>
          <w:p w:rsidR="00171852" w:rsidRPr="00FE0B97" w:rsidRDefault="00171852" w:rsidP="00171852">
            <w:pPr>
              <w:spacing w:before="100" w:beforeAutospacing="1" w:after="100" w:afterAutospacing="1"/>
              <w:rPr>
                <w:rFonts w:cs="TH Niramit AS"/>
                <w:sz w:val="18"/>
                <w:szCs w:val="18"/>
                <w:cs/>
              </w:rPr>
            </w:pPr>
            <w:r w:rsidRPr="00FE0B97">
              <w:rPr>
                <w:rFonts w:cs="TH Niramit AS"/>
                <w:sz w:val="18"/>
                <w:szCs w:val="18"/>
              </w:rPr>
              <w:t>47.81 ± 12.44</w:t>
            </w:r>
          </w:p>
        </w:tc>
        <w:tc>
          <w:tcPr>
            <w:tcW w:w="1564" w:type="dxa"/>
            <w:vAlign w:val="bottom"/>
          </w:tcPr>
          <w:p w:rsidR="00171852" w:rsidRPr="00FE0B97" w:rsidRDefault="00171852" w:rsidP="00171852">
            <w:pPr>
              <w:spacing w:before="100" w:beforeAutospacing="1" w:after="100" w:afterAutospacing="1"/>
              <w:rPr>
                <w:rFonts w:cs="TH Niramit AS"/>
                <w:sz w:val="18"/>
                <w:szCs w:val="18"/>
              </w:rPr>
            </w:pPr>
            <w:r w:rsidRPr="00FE0B97">
              <w:rPr>
                <w:rFonts w:cs="TH Niramit AS"/>
                <w:sz w:val="18"/>
                <w:szCs w:val="18"/>
              </w:rPr>
              <w:t>50-60</w:t>
            </w:r>
          </w:p>
        </w:tc>
      </w:tr>
      <w:tr w:rsidR="00171852" w:rsidRPr="00FE0B97" w:rsidTr="00171852">
        <w:trPr>
          <w:trHeight w:val="321"/>
        </w:trPr>
        <w:tc>
          <w:tcPr>
            <w:tcW w:w="1980" w:type="dxa"/>
            <w:vAlign w:val="bottom"/>
          </w:tcPr>
          <w:p w:rsidR="00171852" w:rsidRPr="00FE0B97" w:rsidRDefault="00171852" w:rsidP="00171852">
            <w:pPr>
              <w:spacing w:before="100" w:beforeAutospacing="1" w:after="100" w:afterAutospacing="1"/>
              <w:rPr>
                <w:rFonts w:cs="TH Niramit AS"/>
                <w:sz w:val="18"/>
                <w:szCs w:val="18"/>
              </w:rPr>
            </w:pPr>
            <w:r w:rsidRPr="00FE0B97">
              <w:rPr>
                <w:rFonts w:cs="TH Niramit AS"/>
                <w:sz w:val="18"/>
                <w:szCs w:val="18"/>
              </w:rPr>
              <w:t>fat distribution, %/day</w:t>
            </w:r>
          </w:p>
        </w:tc>
        <w:tc>
          <w:tcPr>
            <w:tcW w:w="1701" w:type="dxa"/>
            <w:vAlign w:val="bottom"/>
          </w:tcPr>
          <w:p w:rsidR="00171852" w:rsidRPr="00FE0B97" w:rsidRDefault="00171852" w:rsidP="00171852">
            <w:pPr>
              <w:spacing w:before="100" w:beforeAutospacing="1" w:after="100" w:afterAutospacing="1"/>
              <w:rPr>
                <w:rFonts w:cs="TH Niramit AS"/>
                <w:sz w:val="18"/>
                <w:szCs w:val="18"/>
              </w:rPr>
            </w:pPr>
            <w:r w:rsidRPr="00FE0B97">
              <w:rPr>
                <w:rFonts w:cs="TH Niramit AS"/>
                <w:sz w:val="18"/>
                <w:szCs w:val="18"/>
              </w:rPr>
              <w:t>39.15 ± 10.21</w:t>
            </w:r>
          </w:p>
        </w:tc>
        <w:tc>
          <w:tcPr>
            <w:tcW w:w="1564" w:type="dxa"/>
            <w:vAlign w:val="bottom"/>
          </w:tcPr>
          <w:p w:rsidR="00171852" w:rsidRPr="00FE0B97" w:rsidRDefault="00171852" w:rsidP="00171852">
            <w:pPr>
              <w:spacing w:before="100" w:beforeAutospacing="1" w:after="100" w:afterAutospacing="1"/>
              <w:rPr>
                <w:rFonts w:cs="TH Niramit AS"/>
                <w:sz w:val="18"/>
                <w:szCs w:val="18"/>
              </w:rPr>
            </w:pPr>
            <w:r w:rsidRPr="00FE0B97">
              <w:rPr>
                <w:rFonts w:cs="TH Niramit AS"/>
                <w:sz w:val="18"/>
                <w:szCs w:val="18"/>
              </w:rPr>
              <w:t>25-35</w:t>
            </w:r>
          </w:p>
        </w:tc>
      </w:tr>
      <w:tr w:rsidR="00171852" w:rsidRPr="00FE0B97" w:rsidTr="00171852">
        <w:trPr>
          <w:trHeight w:val="321"/>
        </w:trPr>
        <w:tc>
          <w:tcPr>
            <w:tcW w:w="1980" w:type="dxa"/>
            <w:vAlign w:val="bottom"/>
          </w:tcPr>
          <w:p w:rsidR="00171852" w:rsidRPr="00FE0B97" w:rsidRDefault="00171852" w:rsidP="00171852">
            <w:pPr>
              <w:spacing w:before="100" w:beforeAutospacing="1" w:after="100" w:afterAutospacing="1"/>
              <w:rPr>
                <w:rFonts w:cs="TH Niramit AS"/>
                <w:sz w:val="18"/>
                <w:szCs w:val="18"/>
              </w:rPr>
            </w:pPr>
            <w:r w:rsidRPr="00FE0B97">
              <w:rPr>
                <w:rFonts w:cs="TH Niramit AS"/>
                <w:sz w:val="18"/>
                <w:szCs w:val="18"/>
              </w:rPr>
              <w:t>Cholesterol, mg/day</w:t>
            </w:r>
          </w:p>
        </w:tc>
        <w:tc>
          <w:tcPr>
            <w:tcW w:w="1701" w:type="dxa"/>
            <w:vAlign w:val="bottom"/>
          </w:tcPr>
          <w:p w:rsidR="00171852" w:rsidRPr="00FE0B97" w:rsidRDefault="00171852" w:rsidP="00171852">
            <w:pPr>
              <w:spacing w:before="100" w:beforeAutospacing="1" w:after="100" w:afterAutospacing="1"/>
              <w:rPr>
                <w:rFonts w:cs="TH Niramit AS"/>
                <w:sz w:val="18"/>
                <w:szCs w:val="18"/>
              </w:rPr>
            </w:pPr>
            <w:r w:rsidRPr="00FE0B97">
              <w:rPr>
                <w:rFonts w:cs="TH Niramit AS"/>
                <w:sz w:val="18"/>
                <w:szCs w:val="18"/>
              </w:rPr>
              <w:t>220.50 ± 21.04</w:t>
            </w:r>
          </w:p>
        </w:tc>
        <w:tc>
          <w:tcPr>
            <w:tcW w:w="1564" w:type="dxa"/>
            <w:vAlign w:val="bottom"/>
          </w:tcPr>
          <w:p w:rsidR="00171852" w:rsidRPr="00FE0B97" w:rsidRDefault="00171852" w:rsidP="00171852">
            <w:pPr>
              <w:spacing w:before="100" w:beforeAutospacing="1" w:after="100" w:afterAutospacing="1"/>
              <w:rPr>
                <w:rFonts w:cs="TH Niramit AS"/>
                <w:sz w:val="18"/>
                <w:szCs w:val="18"/>
              </w:rPr>
            </w:pPr>
            <w:r w:rsidRPr="00FE0B97">
              <w:rPr>
                <w:rFonts w:cs="TH Niramit AS"/>
                <w:sz w:val="18"/>
                <w:szCs w:val="18"/>
              </w:rPr>
              <w:t>&lt;200</w:t>
            </w:r>
          </w:p>
        </w:tc>
      </w:tr>
      <w:tr w:rsidR="00171852" w:rsidRPr="00FE0B97" w:rsidTr="00171852">
        <w:trPr>
          <w:trHeight w:val="321"/>
        </w:trPr>
        <w:tc>
          <w:tcPr>
            <w:tcW w:w="1980" w:type="dxa"/>
            <w:vAlign w:val="bottom"/>
          </w:tcPr>
          <w:p w:rsidR="00171852" w:rsidRPr="00FE0B97" w:rsidRDefault="00171852" w:rsidP="00171852">
            <w:pPr>
              <w:spacing w:before="100" w:beforeAutospacing="1" w:after="100" w:afterAutospacing="1"/>
              <w:rPr>
                <w:rFonts w:cs="TH Niramit AS"/>
                <w:sz w:val="18"/>
                <w:szCs w:val="18"/>
              </w:rPr>
            </w:pPr>
            <w:r w:rsidRPr="00FE0B97">
              <w:rPr>
                <w:rFonts w:cs="TH Niramit AS"/>
                <w:sz w:val="18"/>
                <w:szCs w:val="18"/>
              </w:rPr>
              <w:t>Fiber, g/day</w:t>
            </w:r>
          </w:p>
        </w:tc>
        <w:tc>
          <w:tcPr>
            <w:tcW w:w="1701" w:type="dxa"/>
            <w:vAlign w:val="bottom"/>
          </w:tcPr>
          <w:p w:rsidR="00171852" w:rsidRPr="00FE0B97" w:rsidRDefault="00171852" w:rsidP="00171852">
            <w:pPr>
              <w:spacing w:before="100" w:beforeAutospacing="1" w:after="100" w:afterAutospacing="1"/>
              <w:rPr>
                <w:rFonts w:cs="TH Niramit AS"/>
                <w:sz w:val="18"/>
                <w:szCs w:val="18"/>
              </w:rPr>
            </w:pPr>
            <w:r w:rsidRPr="00FE0B97">
              <w:rPr>
                <w:rFonts w:cs="TH Niramit AS"/>
                <w:sz w:val="18"/>
                <w:szCs w:val="18"/>
              </w:rPr>
              <w:t>12.85 ± 3.66</w:t>
            </w:r>
          </w:p>
        </w:tc>
        <w:tc>
          <w:tcPr>
            <w:tcW w:w="1564" w:type="dxa"/>
            <w:vAlign w:val="bottom"/>
          </w:tcPr>
          <w:p w:rsidR="00171852" w:rsidRPr="00FE0B97" w:rsidRDefault="00171852" w:rsidP="00171852">
            <w:pPr>
              <w:spacing w:before="100" w:beforeAutospacing="1" w:after="100" w:afterAutospacing="1"/>
              <w:rPr>
                <w:rFonts w:cs="TH Niramit AS"/>
                <w:sz w:val="18"/>
                <w:szCs w:val="18"/>
              </w:rPr>
            </w:pPr>
            <w:r w:rsidRPr="00FE0B97">
              <w:rPr>
                <w:rFonts w:cs="TH Niramit AS"/>
                <w:sz w:val="18"/>
                <w:szCs w:val="18"/>
              </w:rPr>
              <w:t>20-30</w:t>
            </w:r>
          </w:p>
        </w:tc>
      </w:tr>
      <w:tr w:rsidR="00171852" w:rsidRPr="00FE0B97" w:rsidTr="00171852">
        <w:trPr>
          <w:trHeight w:val="321"/>
        </w:trPr>
        <w:tc>
          <w:tcPr>
            <w:tcW w:w="1980" w:type="dxa"/>
            <w:vAlign w:val="bottom"/>
          </w:tcPr>
          <w:p w:rsidR="00171852" w:rsidRPr="00FE0B97" w:rsidRDefault="00171852" w:rsidP="00171852">
            <w:pPr>
              <w:spacing w:before="100" w:beforeAutospacing="1" w:after="100" w:afterAutospacing="1"/>
              <w:rPr>
                <w:rFonts w:cs="TH Niramit AS"/>
                <w:sz w:val="18"/>
                <w:szCs w:val="18"/>
                <w:cs/>
              </w:rPr>
            </w:pPr>
            <w:r w:rsidRPr="00FE0B97">
              <w:rPr>
                <w:rFonts w:cs="TH Niramit AS"/>
                <w:sz w:val="18"/>
                <w:szCs w:val="18"/>
              </w:rPr>
              <w:t>Calcium, mg/day</w:t>
            </w:r>
          </w:p>
        </w:tc>
        <w:tc>
          <w:tcPr>
            <w:tcW w:w="1701" w:type="dxa"/>
            <w:vAlign w:val="bottom"/>
          </w:tcPr>
          <w:p w:rsidR="00171852" w:rsidRPr="00FE0B97" w:rsidRDefault="00171852" w:rsidP="00171852">
            <w:pPr>
              <w:spacing w:before="100" w:beforeAutospacing="1" w:after="100" w:afterAutospacing="1"/>
              <w:rPr>
                <w:rFonts w:cs="TH Niramit AS"/>
                <w:sz w:val="18"/>
                <w:szCs w:val="18"/>
              </w:rPr>
            </w:pPr>
            <w:r w:rsidRPr="00FE0B97">
              <w:rPr>
                <w:rFonts w:cs="TH Niramit AS"/>
                <w:sz w:val="18"/>
                <w:szCs w:val="18"/>
              </w:rPr>
              <w:t>463.11 ± 70.60</w:t>
            </w:r>
          </w:p>
        </w:tc>
        <w:tc>
          <w:tcPr>
            <w:tcW w:w="1564" w:type="dxa"/>
            <w:vAlign w:val="bottom"/>
          </w:tcPr>
          <w:p w:rsidR="00171852" w:rsidRPr="00FE0B97" w:rsidRDefault="00171852" w:rsidP="00171852">
            <w:pPr>
              <w:spacing w:before="100" w:beforeAutospacing="1" w:after="100" w:afterAutospacing="1"/>
              <w:rPr>
                <w:rFonts w:cs="TH Niramit AS"/>
                <w:sz w:val="18"/>
                <w:szCs w:val="18"/>
              </w:rPr>
            </w:pPr>
            <w:r w:rsidRPr="00FE0B97">
              <w:rPr>
                <w:rFonts w:cs="TH Niramit AS"/>
                <w:sz w:val="18"/>
                <w:szCs w:val="18"/>
              </w:rPr>
              <w:t>1,000-1,500</w:t>
            </w:r>
          </w:p>
        </w:tc>
      </w:tr>
      <w:tr w:rsidR="00171852" w:rsidRPr="00FE0B97" w:rsidTr="00171852">
        <w:trPr>
          <w:trHeight w:val="321"/>
        </w:trPr>
        <w:tc>
          <w:tcPr>
            <w:tcW w:w="1980" w:type="dxa"/>
            <w:vAlign w:val="bottom"/>
          </w:tcPr>
          <w:p w:rsidR="00171852" w:rsidRPr="00FE0B97" w:rsidRDefault="00171852" w:rsidP="00171852">
            <w:pPr>
              <w:spacing w:before="100" w:beforeAutospacing="1" w:after="100" w:afterAutospacing="1"/>
              <w:rPr>
                <w:rFonts w:cs="TH Niramit AS"/>
                <w:sz w:val="18"/>
                <w:szCs w:val="18"/>
                <w:cs/>
              </w:rPr>
            </w:pPr>
            <w:r w:rsidRPr="00FE0B97">
              <w:rPr>
                <w:rFonts w:cs="TH Niramit AS"/>
                <w:sz w:val="18"/>
                <w:szCs w:val="18"/>
              </w:rPr>
              <w:t xml:space="preserve">Potassium, </w:t>
            </w:r>
            <w:proofErr w:type="spellStart"/>
            <w:r w:rsidRPr="00FE0B97">
              <w:rPr>
                <w:rFonts w:cs="TH Niramit AS"/>
                <w:sz w:val="18"/>
                <w:szCs w:val="18"/>
              </w:rPr>
              <w:t>mEg</w:t>
            </w:r>
            <w:proofErr w:type="spellEnd"/>
            <w:r w:rsidRPr="00FE0B97">
              <w:rPr>
                <w:rFonts w:cs="TH Niramit AS"/>
                <w:sz w:val="18"/>
                <w:szCs w:val="18"/>
              </w:rPr>
              <w:t>/day</w:t>
            </w:r>
          </w:p>
        </w:tc>
        <w:tc>
          <w:tcPr>
            <w:tcW w:w="1701" w:type="dxa"/>
            <w:vAlign w:val="bottom"/>
          </w:tcPr>
          <w:p w:rsidR="00171852" w:rsidRPr="00FE0B97" w:rsidRDefault="00171852" w:rsidP="00171852">
            <w:pPr>
              <w:spacing w:before="100" w:beforeAutospacing="1" w:after="100" w:afterAutospacing="1"/>
              <w:rPr>
                <w:rFonts w:cs="TH Niramit AS"/>
                <w:sz w:val="18"/>
                <w:szCs w:val="18"/>
              </w:rPr>
            </w:pPr>
            <w:r w:rsidRPr="00FE0B97">
              <w:rPr>
                <w:rFonts w:cs="TH Niramit AS"/>
                <w:sz w:val="18"/>
                <w:szCs w:val="18"/>
              </w:rPr>
              <w:t>165.24 ± 58.08</w:t>
            </w:r>
          </w:p>
        </w:tc>
        <w:tc>
          <w:tcPr>
            <w:tcW w:w="1564" w:type="dxa"/>
            <w:vAlign w:val="bottom"/>
          </w:tcPr>
          <w:p w:rsidR="00171852" w:rsidRPr="00FE0B97" w:rsidRDefault="00171852" w:rsidP="00171852">
            <w:pPr>
              <w:spacing w:before="100" w:beforeAutospacing="1" w:after="100" w:afterAutospacing="1"/>
              <w:rPr>
                <w:rFonts w:cs="TH Niramit AS"/>
                <w:sz w:val="18"/>
                <w:szCs w:val="18"/>
              </w:rPr>
            </w:pPr>
            <w:r w:rsidRPr="00FE0B97">
              <w:rPr>
                <w:rFonts w:cs="TH Niramit AS"/>
                <w:sz w:val="18"/>
                <w:szCs w:val="18"/>
              </w:rPr>
              <w:t>70-90</w:t>
            </w:r>
          </w:p>
        </w:tc>
      </w:tr>
      <w:tr w:rsidR="00171852" w:rsidRPr="00FE0B97" w:rsidTr="00171852">
        <w:trPr>
          <w:trHeight w:val="321"/>
        </w:trPr>
        <w:tc>
          <w:tcPr>
            <w:tcW w:w="1980" w:type="dxa"/>
            <w:vAlign w:val="bottom"/>
          </w:tcPr>
          <w:p w:rsidR="00171852" w:rsidRPr="00FE0B97" w:rsidRDefault="00171852" w:rsidP="00171852">
            <w:pPr>
              <w:spacing w:before="100" w:beforeAutospacing="1" w:after="100" w:afterAutospacing="1"/>
              <w:rPr>
                <w:rFonts w:cs="TH Niramit AS"/>
                <w:sz w:val="18"/>
                <w:szCs w:val="18"/>
                <w:cs/>
              </w:rPr>
            </w:pPr>
            <w:r w:rsidRPr="00FE0B97">
              <w:rPr>
                <w:rFonts w:cs="TH Niramit AS"/>
                <w:sz w:val="18"/>
                <w:szCs w:val="18"/>
              </w:rPr>
              <w:t>Phosphorus, mg/day</w:t>
            </w:r>
          </w:p>
        </w:tc>
        <w:tc>
          <w:tcPr>
            <w:tcW w:w="1701" w:type="dxa"/>
            <w:vAlign w:val="bottom"/>
          </w:tcPr>
          <w:p w:rsidR="00171852" w:rsidRPr="00FE0B97" w:rsidRDefault="00171852" w:rsidP="00171852">
            <w:pPr>
              <w:spacing w:before="100" w:beforeAutospacing="1" w:after="100" w:afterAutospacing="1"/>
              <w:rPr>
                <w:rFonts w:cs="TH Niramit AS"/>
                <w:sz w:val="18"/>
                <w:szCs w:val="18"/>
              </w:rPr>
            </w:pPr>
            <w:r w:rsidRPr="00FE0B97">
              <w:rPr>
                <w:rFonts w:cs="TH Niramit AS"/>
                <w:sz w:val="18"/>
                <w:szCs w:val="18"/>
              </w:rPr>
              <w:t>54.64 ± 37.13</w:t>
            </w:r>
          </w:p>
        </w:tc>
        <w:tc>
          <w:tcPr>
            <w:tcW w:w="1564" w:type="dxa"/>
            <w:vAlign w:val="bottom"/>
          </w:tcPr>
          <w:p w:rsidR="00171852" w:rsidRPr="00FE0B97" w:rsidRDefault="00171852" w:rsidP="00171852">
            <w:pPr>
              <w:spacing w:before="100" w:beforeAutospacing="1" w:after="100" w:afterAutospacing="1"/>
              <w:rPr>
                <w:rFonts w:cs="TH Niramit AS"/>
                <w:sz w:val="18"/>
                <w:szCs w:val="18"/>
              </w:rPr>
            </w:pPr>
            <w:r w:rsidRPr="00FE0B97">
              <w:rPr>
                <w:rFonts w:cs="TH Niramit AS"/>
                <w:sz w:val="18"/>
                <w:szCs w:val="18"/>
              </w:rPr>
              <w:t>&lt;17</w:t>
            </w:r>
          </w:p>
        </w:tc>
      </w:tr>
      <w:tr w:rsidR="00171852" w:rsidRPr="00FE0B97" w:rsidTr="00171852">
        <w:trPr>
          <w:trHeight w:val="321"/>
        </w:trPr>
        <w:tc>
          <w:tcPr>
            <w:tcW w:w="1980" w:type="dxa"/>
            <w:vAlign w:val="bottom"/>
          </w:tcPr>
          <w:p w:rsidR="00171852" w:rsidRPr="00FE0B97" w:rsidRDefault="00171852" w:rsidP="00171852">
            <w:pPr>
              <w:spacing w:before="100" w:beforeAutospacing="1" w:after="100" w:afterAutospacing="1"/>
              <w:rPr>
                <w:rFonts w:cs="TH Niramit AS"/>
                <w:sz w:val="18"/>
                <w:szCs w:val="18"/>
                <w:cs/>
              </w:rPr>
            </w:pPr>
            <w:r w:rsidRPr="00FE0B97">
              <w:rPr>
                <w:rFonts w:cs="TH Niramit AS"/>
                <w:sz w:val="18"/>
                <w:szCs w:val="18"/>
              </w:rPr>
              <w:t>Sodium, mg/day</w:t>
            </w:r>
          </w:p>
        </w:tc>
        <w:tc>
          <w:tcPr>
            <w:tcW w:w="1701" w:type="dxa"/>
            <w:vAlign w:val="bottom"/>
          </w:tcPr>
          <w:p w:rsidR="00171852" w:rsidRPr="00FE0B97" w:rsidRDefault="00171852" w:rsidP="00171852">
            <w:pPr>
              <w:spacing w:before="100" w:beforeAutospacing="1" w:after="100" w:afterAutospacing="1"/>
              <w:rPr>
                <w:rFonts w:cs="TH Niramit AS"/>
                <w:sz w:val="18"/>
                <w:szCs w:val="18"/>
              </w:rPr>
            </w:pPr>
            <w:r w:rsidRPr="00FE0B97">
              <w:rPr>
                <w:rFonts w:cs="TH Niramit AS"/>
                <w:sz w:val="18"/>
                <w:szCs w:val="18"/>
              </w:rPr>
              <w:t>2,531.44 ± 272.13</w:t>
            </w:r>
          </w:p>
        </w:tc>
        <w:tc>
          <w:tcPr>
            <w:tcW w:w="1564" w:type="dxa"/>
            <w:vAlign w:val="bottom"/>
          </w:tcPr>
          <w:p w:rsidR="00171852" w:rsidRPr="00FE0B97" w:rsidRDefault="00171852" w:rsidP="00171852">
            <w:pPr>
              <w:spacing w:before="100" w:beforeAutospacing="1" w:after="100" w:afterAutospacing="1"/>
              <w:rPr>
                <w:rFonts w:cs="TH Niramit AS"/>
                <w:sz w:val="18"/>
                <w:szCs w:val="18"/>
              </w:rPr>
            </w:pPr>
            <w:r w:rsidRPr="00FE0B97">
              <w:rPr>
                <w:rFonts w:cs="TH Niramit AS"/>
                <w:sz w:val="18"/>
                <w:szCs w:val="18"/>
              </w:rPr>
              <w:t>2,000-2,400</w:t>
            </w:r>
          </w:p>
        </w:tc>
      </w:tr>
    </w:tbl>
    <w:p w:rsidR="00171852" w:rsidRDefault="00171852" w:rsidP="00FC06F7">
      <w:pPr>
        <w:spacing w:line="204" w:lineRule="exact"/>
        <w:rPr>
          <w:rFonts w:ascii="Calibri" w:hAnsi="Calibri"/>
        </w:rPr>
      </w:pPr>
    </w:p>
    <w:p w:rsidR="00AE3E37" w:rsidRPr="008756E6" w:rsidRDefault="00AE3E37" w:rsidP="008756E6">
      <w:pPr>
        <w:tabs>
          <w:tab w:val="left" w:pos="384"/>
        </w:tabs>
        <w:ind w:right="117"/>
      </w:pPr>
    </w:p>
    <w:p w:rsidR="00AE3E37" w:rsidRDefault="008756E6">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r>
        <w:rPr>
          <w:rFonts w:ascii="Calibri" w:hAnsi="Calibri"/>
        </w:rPr>
        <w:t xml:space="preserve">   </w:t>
      </w:r>
    </w:p>
    <w:p w:rsidR="00AE3E37" w:rsidRDefault="00AE3E37">
      <w:pPr>
        <w:pStyle w:val="BodyText"/>
        <w:rPr>
          <w:rFonts w:ascii="Calibri"/>
          <w:sz w:val="20"/>
        </w:rPr>
      </w:pPr>
    </w:p>
    <w:p w:rsidR="00AE3E37" w:rsidRDefault="00292ED9">
      <w:pPr>
        <w:pStyle w:val="BodyText"/>
        <w:spacing w:line="40" w:lineRule="exact"/>
        <w:ind w:left="2202"/>
        <w:rPr>
          <w:rFonts w:ascii="Calibri"/>
          <w:sz w:val="4"/>
        </w:rPr>
      </w:pPr>
      <w:r>
        <w:rPr>
          <w:rFonts w:ascii="Calibri"/>
          <w:noProof/>
          <w:sz w:val="4"/>
          <w:lang w:bidi="th-TH"/>
        </w:rPr>
        <mc:AlternateContent>
          <mc:Choice Requires="wpg">
            <w:drawing>
              <wp:inline distT="0" distB="0" distL="0" distR="0">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597409F4"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anchorlock/>
              </v:group>
            </w:pict>
          </mc:Fallback>
        </mc:AlternateContent>
      </w:r>
    </w:p>
    <w:p w:rsidR="00AE3E37" w:rsidRDefault="008756E6" w:rsidP="00404E5B">
      <w:pPr>
        <w:spacing w:before="92"/>
        <w:ind w:right="4234"/>
        <w:rPr>
          <w:rFonts w:ascii="Arial"/>
        </w:rPr>
      </w:pPr>
      <w:r>
        <w:rPr>
          <w:noProof/>
        </w:rPr>
        <w:t xml:space="preserve">              </w:t>
      </w:r>
      <w:r w:rsidR="00C01DAA">
        <w:rPr>
          <w:noProof/>
          <w:lang w:bidi="th-TH"/>
        </w:rPr>
        <w:drawing>
          <wp:inline distT="0" distB="0" distL="0" distR="0">
            <wp:extent cx="583262" cy="869856"/>
            <wp:effectExtent l="0" t="0" r="7620" b="698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595412" cy="887976"/>
                    </a:xfrm>
                    <a:prstGeom prst="rect">
                      <a:avLst/>
                    </a:prstGeom>
                    <a:noFill/>
                    <a:ln>
                      <a:noFill/>
                    </a:ln>
                  </pic:spPr>
                </pic:pic>
              </a:graphicData>
            </a:graphic>
          </wp:inline>
        </w:drawing>
      </w:r>
      <w:r w:rsidR="00E93224">
        <w:rPr>
          <w:noProof/>
        </w:rPr>
        <w:t xml:space="preserve"> </w:t>
      </w:r>
      <w:r w:rsidR="00A9710C">
        <w:rPr>
          <w:rFonts w:ascii="Arial"/>
          <w:color w:val="BF5A14"/>
        </w:rPr>
        <w:t>Biography</w:t>
      </w:r>
      <w:r w:rsidR="00404E5B">
        <w:rPr>
          <w:rFonts w:ascii="Arial"/>
          <w:color w:val="BF5A14"/>
        </w:rPr>
        <w:t xml:space="preserve"> </w:t>
      </w:r>
    </w:p>
    <w:p w:rsidR="00C01DAA" w:rsidRPr="007D5D1B" w:rsidRDefault="00C01DAA" w:rsidP="00C01DAA">
      <w:pPr>
        <w:jc w:val="thaiDistribute"/>
        <w:rPr>
          <w:sz w:val="18"/>
          <w:szCs w:val="18"/>
        </w:rPr>
      </w:pPr>
      <w:r w:rsidRPr="007D5D1B">
        <w:rPr>
          <w:sz w:val="18"/>
          <w:szCs w:val="18"/>
        </w:rPr>
        <w:t xml:space="preserve">Dr. </w:t>
      </w:r>
      <w:proofErr w:type="spellStart"/>
      <w:r w:rsidRPr="007D5D1B">
        <w:rPr>
          <w:sz w:val="18"/>
          <w:szCs w:val="18"/>
        </w:rPr>
        <w:t>Jukkrit</w:t>
      </w:r>
      <w:proofErr w:type="spellEnd"/>
      <w:r w:rsidRPr="007D5D1B">
        <w:rPr>
          <w:sz w:val="18"/>
          <w:szCs w:val="18"/>
        </w:rPr>
        <w:t xml:space="preserve"> </w:t>
      </w:r>
      <w:proofErr w:type="spellStart"/>
      <w:r w:rsidRPr="007D5D1B">
        <w:rPr>
          <w:sz w:val="18"/>
          <w:szCs w:val="18"/>
        </w:rPr>
        <w:t>Wungrath</w:t>
      </w:r>
      <w:proofErr w:type="spellEnd"/>
      <w:r w:rsidRPr="007D5D1B">
        <w:rPr>
          <w:sz w:val="18"/>
          <w:szCs w:val="18"/>
        </w:rPr>
        <w:t xml:space="preserve"> graduated at Faculty of Public Health and completed his Master’s degree of Food and Nutrition for Development at the Institute of Nutrition, </w:t>
      </w:r>
      <w:proofErr w:type="spellStart"/>
      <w:r w:rsidRPr="007D5D1B">
        <w:rPr>
          <w:sz w:val="18"/>
          <w:szCs w:val="18"/>
        </w:rPr>
        <w:t>Mahidol</w:t>
      </w:r>
      <w:proofErr w:type="spellEnd"/>
      <w:r w:rsidRPr="007D5D1B">
        <w:rPr>
          <w:sz w:val="18"/>
          <w:szCs w:val="18"/>
        </w:rPr>
        <w:t xml:space="preserve"> University, and he has a PhD in Food Science and Technology from Chiang Mai University, Thailand. He is an expert in food and nutrition for the life cycle. He currently the lecturer in the Faculty of Public Health, Chiang Mai University. His research interests include nutritional behavioral modification, nutritional status promotion and community nutrition. </w:t>
      </w:r>
    </w:p>
    <w:p w:rsidR="00AE3E37" w:rsidRDefault="00A9710C">
      <w:pPr>
        <w:spacing w:before="62"/>
        <w:ind w:left="4217" w:right="4235"/>
        <w:jc w:val="center"/>
        <w:rPr>
          <w:rFonts w:ascii="Arial"/>
          <w:sz w:val="14"/>
        </w:rPr>
      </w:pPr>
      <w:r>
        <w:rPr>
          <w:rFonts w:ascii="Arial"/>
          <w:sz w:val="14"/>
        </w:rPr>
        <w:t xml:space="preserve">Email: </w:t>
      </w:r>
      <w:r w:rsidR="00E93224">
        <w:rPr>
          <w:rFonts w:ascii="Arial"/>
          <w:sz w:val="14"/>
        </w:rPr>
        <w:t>jukkrit.w@gmail.com</w:t>
      </w:r>
      <w:hyperlink r:id="rId10" w:history="1"/>
    </w:p>
    <w:p w:rsidR="00AE3E37" w:rsidRDefault="00292ED9">
      <w:pPr>
        <w:pStyle w:val="BodyText"/>
        <w:spacing w:before="2"/>
        <w:rPr>
          <w:rFonts w:ascii="Arial"/>
          <w:sz w:val="19"/>
        </w:rPr>
      </w:pPr>
      <w:r>
        <w:rPr>
          <w:noProof/>
          <w:lang w:bidi="th-TH"/>
        </w:rPr>
        <mc:AlternateContent>
          <mc:Choice Requires="wps">
            <w:drawing>
              <wp:anchor distT="0" distB="0" distL="0" distR="0" simplePos="0" relativeHeight="1072" behindDoc="0" locked="0" layoutInCell="1" allowOverlap="1">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E8BFA52"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rsidR="00AE3E37" w:rsidRDefault="00AE3E37">
      <w:pPr>
        <w:pStyle w:val="BodyText"/>
        <w:rPr>
          <w:rFonts w:ascii="Arial"/>
          <w:sz w:val="20"/>
        </w:rPr>
      </w:pPr>
    </w:p>
    <w:p w:rsidR="00AE3E37" w:rsidRDefault="00AE3E37">
      <w:pPr>
        <w:pStyle w:val="BodyText"/>
        <w:rPr>
          <w:rFonts w:ascii="Arial"/>
          <w:sz w:val="20"/>
        </w:rPr>
      </w:pPr>
    </w:p>
    <w:p w:rsidR="00AE3E37" w:rsidRDefault="00AE3E37">
      <w:pPr>
        <w:pStyle w:val="BodyText"/>
        <w:spacing w:before="7"/>
        <w:rPr>
          <w:rFonts w:ascii="Arial"/>
          <w:sz w:val="29"/>
        </w:rPr>
      </w:pPr>
    </w:p>
    <w:p w:rsidR="00AE3E37" w:rsidRPr="00B21A57" w:rsidRDefault="00A9710C">
      <w:pPr>
        <w:spacing w:before="39"/>
        <w:ind w:left="100"/>
        <w:rPr>
          <w:rFonts w:ascii="Minion Pro"/>
          <w:b/>
          <w:sz w:val="20"/>
        </w:rPr>
      </w:pPr>
      <w:r w:rsidRPr="00B21A57">
        <w:rPr>
          <w:rFonts w:ascii="Minion Pro"/>
          <w:b/>
          <w:sz w:val="20"/>
        </w:rPr>
        <w:t>Notes/Comments:</w:t>
      </w:r>
    </w:p>
    <w:p w:rsidR="00AE3E37" w:rsidRPr="00070087" w:rsidRDefault="00AE3E37">
      <w:pPr>
        <w:rPr>
          <w:rFonts w:ascii="Minion Pro" w:cstheme="minorBidi"/>
          <w:sz w:val="24"/>
          <w:cs/>
          <w:lang w:bidi="th-TH"/>
        </w:rPr>
        <w:sectPr w:rsidR="00AE3E37" w:rsidRPr="00070087">
          <w:type w:val="continuous"/>
          <w:pgSz w:w="11910" w:h="16840"/>
          <w:pgMar w:top="1740" w:right="600" w:bottom="840" w:left="620" w:header="720" w:footer="720" w:gutter="0"/>
          <w:cols w:space="720"/>
        </w:sectPr>
      </w:pPr>
    </w:p>
    <w:p w:rsidR="00AE3E37" w:rsidRDefault="00AE3E37">
      <w:pPr>
        <w:pStyle w:val="BodyText"/>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CC496B" w:rsidRDefault="00CC496B">
      <w:r>
        <w:separator/>
      </w:r>
    </w:p>
  </w:endnote>
  <w:endnote w:type="continuationSeparator" w:id="0">
    <w:p w:rsidR="00CC496B" w:rsidRDefault="00CC496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ordia New">
    <w:panose1 w:val="020B0304020202020204"/>
    <w:charset w:val="00"/>
    <w:family w:val="swiss"/>
    <w:pitch w:val="variable"/>
    <w:sig w:usb0="81000003" w:usb1="00000000" w:usb2="00000000" w:usb3="00000000" w:csb0="00010001"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Browallia New">
    <w:panose1 w:val="020B0604020202020204"/>
    <w:charset w:val="00"/>
    <w:family w:val="swiss"/>
    <w:pitch w:val="variable"/>
    <w:sig w:usb0="81000003" w:usb1="00000000" w:usb2="00000000" w:usb3="00000000" w:csb0="00010001" w:csb1="00000000"/>
  </w:font>
  <w:font w:name="TH SarabunPSK">
    <w:panose1 w:val="020B0500040200020003"/>
    <w:charset w:val="00"/>
    <w:family w:val="swiss"/>
    <w:pitch w:val="variable"/>
    <w:sig w:usb0="A100006F" w:usb1="5000205A" w:usb2="00000000" w:usb3="00000000" w:csb0="00010183"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TH Niramit AS">
    <w:panose1 w:val="02000506000000020004"/>
    <w:charset w:val="00"/>
    <w:family w:val="auto"/>
    <w:pitch w:val="variable"/>
    <w:sig w:usb0="A100006F" w:usb1="5000204A" w:usb2="00000000" w:usb3="00000000" w:csb0="00010183" w:csb1="00000000"/>
  </w:font>
  <w:font w:name="Cambria">
    <w:panose1 w:val="02040503050406030204"/>
    <w:charset w:val="00"/>
    <w:family w:val="roman"/>
    <w:pitch w:val="variable"/>
    <w:sig w:usb0="E00002FF" w:usb1="400004FF" w:usb2="00000000" w:usb3="00000000" w:csb0="0000019F" w:csb1="00000000"/>
  </w:font>
  <w:font w:name="Angsana New">
    <w:panose1 w:val="02020603050405020304"/>
    <w:charset w:val="00"/>
    <w:family w:val="roman"/>
    <w:pitch w:val="variable"/>
    <w:sig w:usb0="81000003" w:usb1="00000000" w:usb2="00000000" w:usb3="00000000" w:csb0="0001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E3E37" w:rsidRDefault="00292ED9">
    <w:pPr>
      <w:pStyle w:val="BodyText"/>
      <w:spacing w:line="14" w:lineRule="auto"/>
      <w:rPr>
        <w:sz w:val="20"/>
      </w:rPr>
    </w:pPr>
    <w:r>
      <w:rPr>
        <w:noProof/>
        <w:lang w:bidi="th-TH"/>
      </w:rPr>
      <mc:AlternateContent>
        <mc:Choice Requires="wps">
          <w:drawing>
            <wp:anchor distT="0" distB="0" distL="114300" distR="114300" simplePos="0" relativeHeight="503311928" behindDoc="1" locked="0" layoutInCell="1" allowOverlap="1">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lang w:bidi="th-TH"/>
      </w:rPr>
      <mc:AlternateContent>
        <mc:Choice Requires="wps">
          <w:drawing>
            <wp:anchor distT="0" distB="0" distL="114300" distR="114300" simplePos="0" relativeHeight="503311952" behindDoc="1" locked="0" layoutInCell="1" allowOverlap="1">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bidi="th-TH"/>
      </w:rPr>
      <mc:AlternateContent>
        <mc:Choice Requires="wps">
          <w:drawing>
            <wp:anchor distT="0" distB="0" distL="114300" distR="114300" simplePos="0" relativeHeight="503311976" behindDoc="1" locked="0" layoutInCell="1" allowOverlap="1">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CC496B" w:rsidRDefault="00CC496B">
      <w:r>
        <w:separator/>
      </w:r>
    </w:p>
  </w:footnote>
  <w:footnote w:type="continuationSeparator" w:id="0">
    <w:p w:rsidR="00CC496B" w:rsidRDefault="00CC496B">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E3E37" w:rsidRDefault="00292ED9">
    <w:pPr>
      <w:pStyle w:val="BodyText"/>
      <w:spacing w:line="14" w:lineRule="auto"/>
      <w:rPr>
        <w:sz w:val="20"/>
      </w:rPr>
    </w:pPr>
    <w:r>
      <w:rPr>
        <w:noProof/>
        <w:lang w:bidi="th-TH"/>
      </w:rPr>
      <mc:AlternateContent>
        <mc:Choice Requires="wps">
          <w:drawing>
            <wp:anchor distT="0" distB="0" distL="114300" distR="114300" simplePos="0" relativeHeight="503311880" behindDoc="1" locked="0" layoutInCell="1" allowOverlap="1">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Pai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Pai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lang w:bidi="th-TH"/>
      </w:rPr>
      <mc:AlternateContent>
        <mc:Choice Requires="wps">
          <w:drawing>
            <wp:anchor distT="0" distB="0" distL="114300" distR="114300" simplePos="0" relativeHeight="503311904" behindDoc="1" locked="0" layoutInCell="1" allowOverlap="1">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drawingGridHorizontalSpacing w:val="110"/>
  <w:displayHorizontalDrawingGridEvery w:val="2"/>
  <w:characterSpacingControl w:val="doNotCompress"/>
  <w:savePreviewPicture/>
  <w:hdrShapeDefaults>
    <o:shapedefaults v:ext="edit" spidmax="2049"/>
  </w:hdrShapeDefaults>
  <w:footnotePr>
    <w:footnote w:id="-1"/>
    <w:footnote w:id="0"/>
  </w:footnotePr>
  <w:endnotePr>
    <w:endnote w:id="-1"/>
    <w:endnote w:id="0"/>
  </w:endnotePr>
  <w:compat>
    <w:ulTrailSpace/>
    <w:applyBreaking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E3E37"/>
    <w:rsid w:val="00070087"/>
    <w:rsid w:val="000E2911"/>
    <w:rsid w:val="001263DF"/>
    <w:rsid w:val="00171852"/>
    <w:rsid w:val="002455EC"/>
    <w:rsid w:val="00286101"/>
    <w:rsid w:val="00292ED9"/>
    <w:rsid w:val="00404E5B"/>
    <w:rsid w:val="00414F7B"/>
    <w:rsid w:val="004355DC"/>
    <w:rsid w:val="0044187A"/>
    <w:rsid w:val="004749B4"/>
    <w:rsid w:val="00494130"/>
    <w:rsid w:val="004F3523"/>
    <w:rsid w:val="004F7E31"/>
    <w:rsid w:val="00550840"/>
    <w:rsid w:val="005973B9"/>
    <w:rsid w:val="005B3A56"/>
    <w:rsid w:val="006060CE"/>
    <w:rsid w:val="0063497F"/>
    <w:rsid w:val="0075552B"/>
    <w:rsid w:val="00791C6C"/>
    <w:rsid w:val="00873DF0"/>
    <w:rsid w:val="008756E6"/>
    <w:rsid w:val="008A08B6"/>
    <w:rsid w:val="00916B7F"/>
    <w:rsid w:val="009B2D44"/>
    <w:rsid w:val="00A02599"/>
    <w:rsid w:val="00A07E82"/>
    <w:rsid w:val="00A9710C"/>
    <w:rsid w:val="00AD723A"/>
    <w:rsid w:val="00AE3E37"/>
    <w:rsid w:val="00B21A57"/>
    <w:rsid w:val="00B3225C"/>
    <w:rsid w:val="00B8519E"/>
    <w:rsid w:val="00C01DAA"/>
    <w:rsid w:val="00C33602"/>
    <w:rsid w:val="00CC496B"/>
    <w:rsid w:val="00CD6F55"/>
    <w:rsid w:val="00CF7AD2"/>
    <w:rsid w:val="00DB4730"/>
    <w:rsid w:val="00DE3104"/>
    <w:rsid w:val="00E26B10"/>
    <w:rsid w:val="00E93224"/>
    <w:rsid w:val="00F164B5"/>
    <w:rsid w:val="00F72EEA"/>
    <w:rsid w:val="00F84CAE"/>
    <w:rsid w:val="00FC06F7"/>
    <w:rsid w:val="00FC55FC"/>
  </w:rsids>
  <m:mathPr>
    <m:mathFont m:val="Cambria Math"/>
    <m:brkBin m:val="before"/>
    <m:brkBinSub m:val="--"/>
    <m:smallFrac/>
    <m:dispDef/>
    <m:lMargin m:val="0"/>
    <m:rMargin m:val="0"/>
    <m:defJc m:val="centerGroup"/>
    <m:wrapIndent m:val="1440"/>
    <m:intLim m:val="subSup"/>
    <m:naryLim m:val="undOvr"/>
  </m:mathPr>
  <w:themeFontLang w:val="en-US" w:bidi="th-TH"/>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AE4B9F09-66EB-4C24-83C8-F689EAA17D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link w:val="Heading1Char"/>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 w:type="character" w:customStyle="1" w:styleId="A7">
    <w:name w:val="A7"/>
    <w:uiPriority w:val="99"/>
    <w:rsid w:val="00E93224"/>
    <w:rPr>
      <w:rFonts w:cs="Times New Roman"/>
      <w:color w:val="000000"/>
      <w:sz w:val="18"/>
      <w:szCs w:val="18"/>
    </w:rPr>
  </w:style>
  <w:style w:type="character" w:customStyle="1" w:styleId="Heading1Char">
    <w:name w:val="Heading 1 Char"/>
    <w:basedOn w:val="DefaultParagraphFont"/>
    <w:link w:val="Heading1"/>
    <w:uiPriority w:val="1"/>
    <w:rsid w:val="00286101"/>
    <w:rPr>
      <w:rFonts w:ascii="Minion Pro" w:eastAsia="Minion Pro" w:hAnsi="Minion Pro" w:cs="Minion Pro"/>
      <w:b/>
      <w:bCs/>
      <w:sz w:val="36"/>
      <w:szCs w:val="3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yperlink" Target="mailto:drXXXXXXX@xxxmail.com" TargetMode="External"/><Relationship Id="rId4" Type="http://schemas.openxmlformats.org/officeDocument/2006/relationships/webSettings" Target="webSettings.xml"/><Relationship Id="rId9" Type="http://schemas.openxmlformats.org/officeDocument/2006/relationships/image" Target="media/image1.png"/></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87</TotalTime>
  <Pages>1</Pages>
  <Words>530</Words>
  <Characters>3023</Characters>
  <Application>Microsoft Office Word</Application>
  <DocSecurity>0</DocSecurity>
  <Lines>25</Lines>
  <Paragraphs>7</Paragraphs>
  <ScaleCrop>false</ScaleCrop>
  <HeadingPairs>
    <vt:vector size="4" baseType="variant">
      <vt:variant>
        <vt:lpstr>Title</vt:lpstr>
      </vt:variant>
      <vt:variant>
        <vt:i4>1</vt:i4>
      </vt:variant>
      <vt:variant>
        <vt:lpstr>Headings</vt:lpstr>
      </vt:variant>
      <vt:variant>
        <vt:i4>3</vt:i4>
      </vt:variant>
    </vt:vector>
  </HeadingPairs>
  <TitlesOfParts>
    <vt:vector size="4" baseType="lpstr">
      <vt:lpstr/>
      <vt:lpstr>Food Intake Characteristics of Hemodialysis Patients in Maharaj Nakorn Chiang Ma</vt:lpstr>
      <vt:lpstr>        Abstract </vt:lpstr>
      <vt:lpstr>        </vt:lpstr>
    </vt:vector>
  </TitlesOfParts>
  <Company>Microsoft</Company>
  <LinksUpToDate>false</LinksUpToDate>
  <CharactersWithSpaces>3546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Asus K Series</cp:lastModifiedBy>
  <cp:revision>11</cp:revision>
  <dcterms:created xsi:type="dcterms:W3CDTF">2017-10-11T04:09:00Z</dcterms:created>
  <dcterms:modified xsi:type="dcterms:W3CDTF">2017-10-11T08:10:00Z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