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C70" w:rsidRDefault="00681BB7">
      <w:pPr>
        <w:rPr>
          <w:b/>
          <w:lang w:val="en-US"/>
        </w:rPr>
      </w:pPr>
      <w:r>
        <w:rPr>
          <w:lang w:val="en-US"/>
        </w:rPr>
        <w:t xml:space="preserve">  </w:t>
      </w:r>
      <w:r w:rsidR="00FE2C70" w:rsidRPr="00681BB7">
        <w:rPr>
          <w:b/>
          <w:lang w:val="en-US"/>
        </w:rPr>
        <w:t>PREVENTION OF TYPE 2 DIABETS BY NEUTRACEUTICALS:  ADAPTATION TO PATHOPHYSIOLOGY</w:t>
      </w:r>
    </w:p>
    <w:p w:rsidR="00681BB7" w:rsidRPr="00681BB7" w:rsidRDefault="00681BB7">
      <w:pPr>
        <w:rPr>
          <w:b/>
          <w:lang w:val="en-US"/>
        </w:rPr>
      </w:pPr>
      <w:r>
        <w:rPr>
          <w:b/>
          <w:lang w:val="en-US"/>
        </w:rPr>
        <w:t xml:space="preserve">Nicolas </w:t>
      </w:r>
      <w:proofErr w:type="spellStart"/>
      <w:r>
        <w:rPr>
          <w:b/>
          <w:lang w:val="en-US"/>
        </w:rPr>
        <w:t>Wiernsperger</w:t>
      </w:r>
      <w:proofErr w:type="spellEnd"/>
      <w:r>
        <w:rPr>
          <w:b/>
          <w:lang w:val="en-US"/>
        </w:rPr>
        <w:t xml:space="preserve">, PhD, Association </w:t>
      </w:r>
      <w:proofErr w:type="spellStart"/>
      <w:r>
        <w:rPr>
          <w:b/>
          <w:lang w:val="en-US"/>
        </w:rPr>
        <w:t>Remedes</w:t>
      </w:r>
      <w:proofErr w:type="spellEnd"/>
      <w:r>
        <w:rPr>
          <w:b/>
          <w:lang w:val="en-US"/>
        </w:rPr>
        <w:t xml:space="preserve"> and </w:t>
      </w:r>
      <w:bookmarkStart w:id="0" w:name="_GoBack"/>
      <w:bookmarkEnd w:id="0"/>
      <w:r>
        <w:rPr>
          <w:b/>
          <w:lang w:val="en-US"/>
        </w:rPr>
        <w:t>Lyon University, France</w:t>
      </w:r>
    </w:p>
    <w:p w:rsidR="00FE2C70" w:rsidRDefault="00FE2C70">
      <w:pPr>
        <w:rPr>
          <w:lang w:val="en-US"/>
        </w:rPr>
      </w:pPr>
    </w:p>
    <w:p w:rsidR="00FE2C70" w:rsidRDefault="00FE2C70">
      <w:pPr>
        <w:rPr>
          <w:lang w:val="en-US"/>
        </w:rPr>
      </w:pPr>
      <w:r>
        <w:rPr>
          <w:lang w:val="en-US"/>
        </w:rPr>
        <w:t xml:space="preserve">Type 2 diabetes is the final expression of a long-lasting chronic underlying pathology which is globally known as the(cardio)metabolic syndrome. This </w:t>
      </w:r>
      <w:proofErr w:type="spellStart"/>
      <w:r>
        <w:rPr>
          <w:lang w:val="en-US"/>
        </w:rPr>
        <w:t>pandemia</w:t>
      </w:r>
      <w:proofErr w:type="spellEnd"/>
      <w:r>
        <w:rPr>
          <w:lang w:val="en-US"/>
        </w:rPr>
        <w:t xml:space="preserve"> affects one third of worldwide population and a large number of these subjects will develop obesity and eventually diabetes. </w:t>
      </w:r>
    </w:p>
    <w:p w:rsidR="00FE2C70" w:rsidRDefault="00FE2C70">
      <w:pPr>
        <w:rPr>
          <w:lang w:val="en-US"/>
        </w:rPr>
      </w:pPr>
      <w:r>
        <w:rPr>
          <w:lang w:val="en-US"/>
        </w:rPr>
        <w:t xml:space="preserve">While it is questionable whether nutraceuticals would treat established type 2 diabetes and its complications, the picture looks much better for preventing this disease. The metabolic dysregulation has a starting point and a subsequent cascade of events which are increasingly well defined. </w:t>
      </w:r>
      <w:r w:rsidR="00681BB7">
        <w:rPr>
          <w:lang w:val="en-US"/>
        </w:rPr>
        <w:t>Based on these recent new notions, nutraceutical composition can be variously adapted to the cellular mechanistic defects and eventually changed according to the state of disease evolution.</w:t>
      </w:r>
    </w:p>
    <w:p w:rsidR="00681BB7" w:rsidRPr="00FE2C70" w:rsidRDefault="00681BB7">
      <w:pPr>
        <w:rPr>
          <w:lang w:val="en-US"/>
        </w:rPr>
      </w:pPr>
      <w:r>
        <w:rPr>
          <w:lang w:val="en-US"/>
        </w:rPr>
        <w:t>The author will give a thorough review of the pathophysiology of the metabolic syndrome (or prediabetes) and make suggestions about preferential phytochemical selection based on their demonstrated properties.</w:t>
      </w:r>
    </w:p>
    <w:sectPr w:rsidR="00681BB7" w:rsidRPr="00FE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70"/>
    <w:rsid w:val="00681BB7"/>
    <w:rsid w:val="00FE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5C36"/>
  <w15:chartTrackingRefBased/>
  <w15:docId w15:val="{062F4686-B53B-4447-8A3A-31352BE3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2018-02-09T10:43:00Z</dcterms:created>
  <dcterms:modified xsi:type="dcterms:W3CDTF">2018-02-09T10:58:00Z</dcterms:modified>
</cp:coreProperties>
</file>