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5B71FF" w14:textId="606C170A" w:rsidR="001B219D" w:rsidRPr="004B35DE" w:rsidRDefault="004B35DE">
      <w:pPr>
        <w:pStyle w:val="Titolo1"/>
        <w:spacing w:before="170"/>
        <w:ind w:left="0"/>
        <w:rPr>
          <w:lang w:val="en-GB"/>
        </w:rPr>
      </w:pPr>
      <w:r w:rsidRPr="004B35DE">
        <w:rPr>
          <w:color w:val="337AB7"/>
          <w:lang w:val="en-GB"/>
        </w:rPr>
        <w:t>Vitamin D3</w:t>
      </w:r>
      <w:r>
        <w:rPr>
          <w:color w:val="337AB7"/>
          <w:lang w:val="en-GB"/>
        </w:rPr>
        <w:t>:</w:t>
      </w:r>
      <w:r w:rsidRPr="004B35DE">
        <w:rPr>
          <w:color w:val="337AB7"/>
          <w:lang w:val="en-GB"/>
        </w:rPr>
        <w:t xml:space="preserve"> a pleiotropic agent </w:t>
      </w:r>
      <w:r>
        <w:rPr>
          <w:color w:val="337AB7"/>
          <w:lang w:val="en-GB"/>
        </w:rPr>
        <w:t>to ensuring immune and bone health. What about bioavailability and improved formulations?</w:t>
      </w:r>
    </w:p>
    <w:p w14:paraId="4B311CCD" w14:textId="1E9A4F5E" w:rsidR="001B219D" w:rsidRPr="00A8593E" w:rsidRDefault="004B35DE" w:rsidP="004B35DE">
      <w:pPr>
        <w:pBdr>
          <w:top w:val="nil"/>
          <w:left w:val="nil"/>
          <w:bottom w:val="nil"/>
          <w:right w:val="nil"/>
          <w:between w:val="nil"/>
        </w:pBdr>
        <w:spacing w:before="73" w:line="198" w:lineRule="auto"/>
        <w:ind w:left="100" w:right="5987"/>
        <w:rPr>
          <w:rFonts w:ascii="Arial" w:eastAsia="Arial" w:hAnsi="Arial" w:cs="Arial"/>
          <w:color w:val="000000"/>
          <w:sz w:val="20"/>
          <w:szCs w:val="20"/>
        </w:rPr>
      </w:pPr>
      <w:r w:rsidRPr="00A8593E">
        <w:rPr>
          <w:rFonts w:ascii="Arial" w:eastAsia="Arial" w:hAnsi="Arial" w:cs="Arial"/>
          <w:color w:val="000000"/>
          <w:sz w:val="20"/>
          <w:szCs w:val="20"/>
          <w:lang w:val="en-GB"/>
        </w:rPr>
        <w:t xml:space="preserve">Andrea Fratter, Pharm. </w:t>
      </w:r>
      <w:r w:rsidRPr="00A8593E">
        <w:rPr>
          <w:rFonts w:ascii="Arial" w:eastAsia="Arial" w:hAnsi="Arial" w:cs="Arial"/>
          <w:color w:val="000000"/>
          <w:sz w:val="20"/>
          <w:szCs w:val="20"/>
        </w:rPr>
        <w:t>D, Post-graduation in Clinical Pharmacology,</w:t>
      </w:r>
      <w:r w:rsidR="00793E60" w:rsidRPr="00A8593E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A8593E">
        <w:rPr>
          <w:rFonts w:ascii="Arial" w:eastAsia="Arial" w:hAnsi="Arial" w:cs="Arial"/>
          <w:color w:val="000000"/>
          <w:sz w:val="20"/>
          <w:szCs w:val="20"/>
        </w:rPr>
        <w:t>University of Padova, Italy</w:t>
      </w:r>
    </w:p>
    <w:p w14:paraId="3917AC54" w14:textId="7F270CE7" w:rsidR="004B35DE" w:rsidRPr="00A8593E" w:rsidRDefault="004B35DE" w:rsidP="004B35DE">
      <w:pPr>
        <w:pBdr>
          <w:top w:val="nil"/>
          <w:left w:val="nil"/>
          <w:bottom w:val="nil"/>
          <w:right w:val="nil"/>
          <w:between w:val="nil"/>
        </w:pBdr>
        <w:spacing w:before="73" w:line="198" w:lineRule="auto"/>
        <w:ind w:left="100" w:right="5987"/>
        <w:rPr>
          <w:rFonts w:ascii="Arial" w:eastAsia="Arial" w:hAnsi="Arial" w:cs="Arial"/>
          <w:color w:val="000000"/>
          <w:sz w:val="20"/>
          <w:szCs w:val="20"/>
        </w:rPr>
      </w:pPr>
      <w:r w:rsidRPr="00A8593E">
        <w:rPr>
          <w:rFonts w:ascii="Arial" w:eastAsia="Arial" w:hAnsi="Arial" w:cs="Arial"/>
          <w:color w:val="000000"/>
          <w:sz w:val="20"/>
          <w:szCs w:val="20"/>
        </w:rPr>
        <w:t>President of Italian Society of Nutraceutical Formulators (</w:t>
      </w:r>
      <w:proofErr w:type="spellStart"/>
      <w:r w:rsidRPr="00A8593E">
        <w:rPr>
          <w:rFonts w:ascii="Arial" w:eastAsia="Arial" w:hAnsi="Arial" w:cs="Arial"/>
          <w:color w:val="000000"/>
          <w:sz w:val="20"/>
          <w:szCs w:val="20"/>
        </w:rPr>
        <w:t>SIFNut</w:t>
      </w:r>
      <w:proofErr w:type="spellEnd"/>
      <w:r w:rsidRPr="00A8593E">
        <w:rPr>
          <w:rFonts w:ascii="Arial" w:eastAsia="Arial" w:hAnsi="Arial" w:cs="Arial"/>
          <w:color w:val="000000"/>
          <w:sz w:val="20"/>
          <w:szCs w:val="20"/>
        </w:rPr>
        <w:t>)</w:t>
      </w:r>
    </w:p>
    <w:p w14:paraId="362AC428" w14:textId="77777777" w:rsidR="001B219D" w:rsidRDefault="001B219D" w:rsidP="00A8593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14:paraId="21B40AA6" w14:textId="77777777" w:rsidR="001B219D" w:rsidRDefault="001B219D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rFonts w:ascii="Arial" w:eastAsia="Arial" w:hAnsi="Arial" w:cs="Arial"/>
          <w:color w:val="000000"/>
          <w:sz w:val="21"/>
          <w:szCs w:val="21"/>
        </w:rPr>
        <w:sectPr w:rsidR="001B219D">
          <w:headerReference w:type="default" r:id="rId7"/>
          <w:footerReference w:type="default" r:id="rId8"/>
          <w:pgSz w:w="11910" w:h="16840"/>
          <w:pgMar w:top="1740" w:right="600" w:bottom="840" w:left="620" w:header="541" w:footer="642" w:gutter="0"/>
          <w:pgNumType w:start="1"/>
          <w:cols w:space="720"/>
        </w:sectPr>
      </w:pPr>
    </w:p>
    <w:p w14:paraId="13094D29" w14:textId="77777777" w:rsidR="001B219D" w:rsidRDefault="00ED595C">
      <w:pPr>
        <w:pStyle w:val="Titolo3"/>
        <w:spacing w:before="147"/>
        <w:ind w:firstLine="100"/>
        <w:jc w:val="both"/>
      </w:pPr>
      <w:bookmarkStart w:id="0" w:name="_gjdgxs" w:colFirst="0" w:colLast="0"/>
      <w:bookmarkEnd w:id="0"/>
      <w:r>
        <w:rPr>
          <w:color w:val="BF5A14"/>
        </w:rPr>
        <w:t>Abstract (</w:t>
      </w:r>
      <w:proofErr w:type="gramStart"/>
      <w:r>
        <w:rPr>
          <w:color w:val="BF5A14"/>
        </w:rPr>
        <w:t>300 or more word</w:t>
      </w:r>
      <w:proofErr w:type="gramEnd"/>
      <w:r>
        <w:rPr>
          <w:color w:val="BF5A14"/>
        </w:rPr>
        <w:t xml:space="preserve"> limit)</w:t>
      </w:r>
    </w:p>
    <w:p w14:paraId="208007AC" w14:textId="4217B664" w:rsidR="00793E60" w:rsidRPr="00C831DA" w:rsidRDefault="003B56BE" w:rsidP="003B56BE">
      <w:pPr>
        <w:pStyle w:val="Titolo3"/>
        <w:spacing w:before="74"/>
        <w:jc w:val="both"/>
        <w:rPr>
          <w:rFonts w:asciiTheme="majorHAnsi" w:hAnsiTheme="majorHAnsi" w:cstheme="majorHAnsi"/>
          <w:b w:val="0"/>
          <w:bCs/>
          <w:sz w:val="24"/>
          <w:szCs w:val="24"/>
          <w:lang w:val="en-GB"/>
        </w:rPr>
      </w:pPr>
      <w:r w:rsidRPr="00C831DA">
        <w:rPr>
          <w:rFonts w:asciiTheme="majorHAnsi" w:hAnsiTheme="majorHAnsi" w:cstheme="majorHAnsi"/>
          <w:b w:val="0"/>
          <w:bCs/>
          <w:sz w:val="24"/>
          <w:szCs w:val="24"/>
          <w:lang w:val="en-GB"/>
        </w:rPr>
        <w:t xml:space="preserve">Nutraceutical products represent a great opportunity to improve general health and well being status of the people, according to a correct health education and concept of diseases prevention.  </w:t>
      </w:r>
      <w:r w:rsidR="0048101A" w:rsidRPr="00C831DA">
        <w:rPr>
          <w:rFonts w:asciiTheme="majorHAnsi" w:hAnsiTheme="majorHAnsi" w:cstheme="majorHAnsi"/>
          <w:b w:val="0"/>
          <w:bCs/>
          <w:sz w:val="24"/>
          <w:szCs w:val="24"/>
          <w:lang w:val="en-GB"/>
        </w:rPr>
        <w:t xml:space="preserve">In this perspective, nutraceuticals can represent a brilliant weapon to restore physiologic functions and co-operate with medical therapy to reduce prescription of chronic pharmacologic treatments. Facing this perspective, particularly interesting even to reduce Healthy National System overload and economical failure of assistance, </w:t>
      </w:r>
      <w:r w:rsidR="00CE7FB2" w:rsidRPr="00C831DA">
        <w:rPr>
          <w:rFonts w:asciiTheme="majorHAnsi" w:hAnsiTheme="majorHAnsi" w:cstheme="majorHAnsi"/>
          <w:b w:val="0"/>
          <w:bCs/>
          <w:sz w:val="24"/>
          <w:szCs w:val="24"/>
          <w:lang w:val="en-GB"/>
        </w:rPr>
        <w:t xml:space="preserve">the </w:t>
      </w:r>
      <w:r w:rsidR="0048101A" w:rsidRPr="00C831DA">
        <w:rPr>
          <w:rFonts w:asciiTheme="majorHAnsi" w:hAnsiTheme="majorHAnsi" w:cstheme="majorHAnsi"/>
          <w:b w:val="0"/>
          <w:bCs/>
          <w:sz w:val="24"/>
          <w:szCs w:val="24"/>
          <w:lang w:val="en-GB"/>
        </w:rPr>
        <w:t>role of the formulation in developing effective nutraceutical products</w:t>
      </w:r>
      <w:r w:rsidR="00CE7FB2" w:rsidRPr="00C831DA">
        <w:rPr>
          <w:rFonts w:asciiTheme="majorHAnsi" w:hAnsiTheme="majorHAnsi" w:cstheme="majorHAnsi"/>
          <w:b w:val="0"/>
          <w:bCs/>
          <w:sz w:val="24"/>
          <w:szCs w:val="24"/>
          <w:lang w:val="en-GB"/>
        </w:rPr>
        <w:t>, remains largely underestimated</w:t>
      </w:r>
      <w:r w:rsidR="002C64B2" w:rsidRPr="00C831DA">
        <w:rPr>
          <w:rFonts w:asciiTheme="majorHAnsi" w:hAnsiTheme="majorHAnsi" w:cstheme="majorHAnsi"/>
          <w:b w:val="0"/>
          <w:bCs/>
          <w:sz w:val="24"/>
          <w:szCs w:val="24"/>
          <w:lang w:val="en-GB"/>
        </w:rPr>
        <w:t xml:space="preserve">. The absence of a clear regulation for nutraceutical products formulative requirements, that in the most part of the world </w:t>
      </w:r>
      <w:proofErr w:type="gramStart"/>
      <w:r w:rsidR="002C64B2" w:rsidRPr="00C831DA">
        <w:rPr>
          <w:rFonts w:asciiTheme="majorHAnsi" w:hAnsiTheme="majorHAnsi" w:cstheme="majorHAnsi"/>
          <w:b w:val="0"/>
          <w:bCs/>
          <w:sz w:val="24"/>
          <w:szCs w:val="24"/>
          <w:lang w:val="en-GB"/>
        </w:rPr>
        <w:t>are</w:t>
      </w:r>
      <w:proofErr w:type="gramEnd"/>
      <w:r w:rsidR="002C64B2" w:rsidRPr="00C831DA">
        <w:rPr>
          <w:rFonts w:asciiTheme="majorHAnsi" w:hAnsiTheme="majorHAnsi" w:cstheme="majorHAnsi"/>
          <w:b w:val="0"/>
          <w:bCs/>
          <w:sz w:val="24"/>
          <w:szCs w:val="24"/>
          <w:lang w:val="en-GB"/>
        </w:rPr>
        <w:t xml:space="preserve"> </w:t>
      </w:r>
      <w:r w:rsidR="00FD2B58" w:rsidRPr="00C831DA">
        <w:rPr>
          <w:rFonts w:asciiTheme="majorHAnsi" w:hAnsiTheme="majorHAnsi" w:cstheme="majorHAnsi"/>
          <w:b w:val="0"/>
          <w:bCs/>
          <w:sz w:val="24"/>
          <w:szCs w:val="24"/>
          <w:lang w:val="en-GB"/>
        </w:rPr>
        <w:t>categoriz</w:t>
      </w:r>
      <w:r w:rsidR="002C64B2" w:rsidRPr="00C831DA">
        <w:rPr>
          <w:rFonts w:asciiTheme="majorHAnsi" w:hAnsiTheme="majorHAnsi" w:cstheme="majorHAnsi"/>
          <w:b w:val="0"/>
          <w:bCs/>
          <w:sz w:val="24"/>
          <w:szCs w:val="24"/>
          <w:lang w:val="en-GB"/>
        </w:rPr>
        <w:t xml:space="preserve">ed </w:t>
      </w:r>
      <w:r w:rsidR="00FD2B58" w:rsidRPr="00C831DA">
        <w:rPr>
          <w:rFonts w:asciiTheme="majorHAnsi" w:hAnsiTheme="majorHAnsi" w:cstheme="majorHAnsi"/>
          <w:b w:val="0"/>
          <w:bCs/>
          <w:sz w:val="24"/>
          <w:szCs w:val="24"/>
          <w:lang w:val="en-GB"/>
        </w:rPr>
        <w:t xml:space="preserve">as </w:t>
      </w:r>
      <w:r w:rsidR="002C64B2" w:rsidRPr="00C831DA">
        <w:rPr>
          <w:rFonts w:asciiTheme="majorHAnsi" w:hAnsiTheme="majorHAnsi" w:cstheme="majorHAnsi"/>
          <w:b w:val="0"/>
          <w:bCs/>
          <w:sz w:val="24"/>
          <w:szCs w:val="24"/>
          <w:lang w:val="en-GB"/>
        </w:rPr>
        <w:t>simple nutritional products or foods, create</w:t>
      </w:r>
      <w:r w:rsidR="004E2AEC" w:rsidRPr="00C831DA">
        <w:rPr>
          <w:rFonts w:asciiTheme="majorHAnsi" w:hAnsiTheme="majorHAnsi" w:cstheme="majorHAnsi"/>
          <w:b w:val="0"/>
          <w:bCs/>
          <w:sz w:val="24"/>
          <w:szCs w:val="24"/>
          <w:lang w:val="en-GB"/>
        </w:rPr>
        <w:t>s</w:t>
      </w:r>
      <w:r w:rsidR="002C64B2" w:rsidRPr="00C831DA">
        <w:rPr>
          <w:rFonts w:asciiTheme="majorHAnsi" w:hAnsiTheme="majorHAnsi" w:cstheme="majorHAnsi"/>
          <w:b w:val="0"/>
          <w:bCs/>
          <w:sz w:val="24"/>
          <w:szCs w:val="24"/>
          <w:lang w:val="en-GB"/>
        </w:rPr>
        <w:t xml:space="preserve"> the conditions for the companies to avoid respecting the minimal good formulative requirements to guarantee efficacy. </w:t>
      </w:r>
      <w:r w:rsidR="0048101A" w:rsidRPr="00C831DA">
        <w:rPr>
          <w:rFonts w:asciiTheme="majorHAnsi" w:hAnsiTheme="majorHAnsi" w:cstheme="majorHAnsi"/>
          <w:b w:val="0"/>
          <w:bCs/>
          <w:sz w:val="24"/>
          <w:szCs w:val="24"/>
          <w:lang w:val="en-GB"/>
        </w:rPr>
        <w:t xml:space="preserve"> </w:t>
      </w:r>
      <w:r w:rsidR="00D70368" w:rsidRPr="00C831DA">
        <w:rPr>
          <w:rFonts w:asciiTheme="majorHAnsi" w:hAnsiTheme="majorHAnsi" w:cstheme="majorHAnsi"/>
          <w:b w:val="0"/>
          <w:bCs/>
          <w:sz w:val="24"/>
          <w:szCs w:val="24"/>
          <w:lang w:val="en-GB"/>
        </w:rPr>
        <w:t xml:space="preserve">In details, especially botanicals are often involved in low absorption and poor bioavailability because of the complexity of the </w:t>
      </w:r>
      <w:proofErr w:type="spellStart"/>
      <w:r w:rsidR="00D70368" w:rsidRPr="00C831DA">
        <w:rPr>
          <w:rFonts w:asciiTheme="majorHAnsi" w:hAnsiTheme="majorHAnsi" w:cstheme="majorHAnsi"/>
          <w:b w:val="0"/>
          <w:bCs/>
          <w:sz w:val="24"/>
          <w:szCs w:val="24"/>
          <w:lang w:val="en-GB"/>
        </w:rPr>
        <w:t>phyto</w:t>
      </w:r>
      <w:proofErr w:type="spellEnd"/>
      <w:r w:rsidR="00D70368" w:rsidRPr="00C831DA">
        <w:rPr>
          <w:rFonts w:asciiTheme="majorHAnsi" w:hAnsiTheme="majorHAnsi" w:cstheme="majorHAnsi"/>
          <w:b w:val="0"/>
          <w:bCs/>
          <w:sz w:val="24"/>
          <w:szCs w:val="24"/>
          <w:lang w:val="en-GB"/>
        </w:rPr>
        <w:t>-complex and the low water solubility. The paradox is that it is possible to find in the market two different formulations with the same actives and different formulative approaches</w:t>
      </w:r>
      <w:r w:rsidR="002A447D">
        <w:rPr>
          <w:rFonts w:asciiTheme="majorHAnsi" w:hAnsiTheme="majorHAnsi" w:cstheme="majorHAnsi"/>
          <w:b w:val="0"/>
          <w:bCs/>
          <w:sz w:val="24"/>
          <w:szCs w:val="24"/>
          <w:lang w:val="en-GB"/>
        </w:rPr>
        <w:t>,</w:t>
      </w:r>
      <w:r w:rsidR="00D70368" w:rsidRPr="00C831DA">
        <w:rPr>
          <w:rFonts w:asciiTheme="majorHAnsi" w:hAnsiTheme="majorHAnsi" w:cstheme="majorHAnsi"/>
          <w:b w:val="0"/>
          <w:bCs/>
          <w:sz w:val="24"/>
          <w:szCs w:val="24"/>
          <w:lang w:val="en-GB"/>
        </w:rPr>
        <w:t xml:space="preserve"> one </w:t>
      </w:r>
      <w:r w:rsidR="002A447D">
        <w:rPr>
          <w:rFonts w:asciiTheme="majorHAnsi" w:hAnsiTheme="majorHAnsi" w:cstheme="majorHAnsi"/>
          <w:b w:val="0"/>
          <w:bCs/>
          <w:sz w:val="24"/>
          <w:szCs w:val="24"/>
          <w:lang w:val="en-GB"/>
        </w:rPr>
        <w:t>correctly formulated</w:t>
      </w:r>
      <w:r w:rsidR="00D70368" w:rsidRPr="00C831DA">
        <w:rPr>
          <w:rFonts w:asciiTheme="majorHAnsi" w:hAnsiTheme="majorHAnsi" w:cstheme="majorHAnsi"/>
          <w:b w:val="0"/>
          <w:bCs/>
          <w:sz w:val="24"/>
          <w:szCs w:val="24"/>
          <w:lang w:val="en-GB"/>
        </w:rPr>
        <w:t xml:space="preserve"> and the other completely unfit that declare the same health claims and both perfectly respecting the law. </w:t>
      </w:r>
      <w:r w:rsidR="00C06FD9" w:rsidRPr="00C831DA">
        <w:rPr>
          <w:rFonts w:asciiTheme="majorHAnsi" w:hAnsiTheme="majorHAnsi" w:cstheme="majorHAnsi"/>
          <w:b w:val="0"/>
          <w:bCs/>
          <w:sz w:val="24"/>
          <w:szCs w:val="24"/>
          <w:lang w:val="en-GB"/>
        </w:rPr>
        <w:t xml:space="preserve">Which is the main strategy to guarantee nutraceutical efficacy and full bioavailability in absence of clear guide-lines? The answer is coming back to human </w:t>
      </w:r>
      <w:r w:rsidR="005A6178">
        <w:rPr>
          <w:rFonts w:asciiTheme="majorHAnsi" w:hAnsiTheme="majorHAnsi" w:cstheme="majorHAnsi"/>
          <w:b w:val="0"/>
          <w:bCs/>
          <w:sz w:val="24"/>
          <w:szCs w:val="24"/>
          <w:lang w:val="en-GB"/>
        </w:rPr>
        <w:t xml:space="preserve">gastro-enteric </w:t>
      </w:r>
      <w:r w:rsidR="00C06FD9" w:rsidRPr="00C831DA">
        <w:rPr>
          <w:rFonts w:asciiTheme="majorHAnsi" w:hAnsiTheme="majorHAnsi" w:cstheme="majorHAnsi"/>
          <w:b w:val="0"/>
          <w:bCs/>
          <w:sz w:val="24"/>
          <w:szCs w:val="24"/>
          <w:lang w:val="en-GB"/>
        </w:rPr>
        <w:t xml:space="preserve">physiology and accordingly adopting a comprehensive </w:t>
      </w:r>
      <w:r w:rsidR="005A6178">
        <w:rPr>
          <w:rFonts w:asciiTheme="majorHAnsi" w:hAnsiTheme="majorHAnsi" w:cstheme="majorHAnsi"/>
          <w:b w:val="0"/>
          <w:bCs/>
          <w:sz w:val="24"/>
          <w:szCs w:val="24"/>
          <w:lang w:val="en-GB"/>
        </w:rPr>
        <w:t xml:space="preserve">and straightforward </w:t>
      </w:r>
      <w:r w:rsidR="00C06FD9" w:rsidRPr="00C831DA">
        <w:rPr>
          <w:rFonts w:asciiTheme="majorHAnsi" w:hAnsiTheme="majorHAnsi" w:cstheme="majorHAnsi"/>
          <w:b w:val="0"/>
          <w:bCs/>
          <w:sz w:val="24"/>
          <w:szCs w:val="24"/>
          <w:lang w:val="en-GB"/>
        </w:rPr>
        <w:t>processes and strategies of formulation design and testing</w:t>
      </w:r>
      <w:r w:rsidR="005A6178">
        <w:rPr>
          <w:rFonts w:asciiTheme="majorHAnsi" w:hAnsiTheme="majorHAnsi" w:cstheme="majorHAnsi"/>
          <w:b w:val="0"/>
          <w:bCs/>
          <w:sz w:val="24"/>
          <w:szCs w:val="24"/>
          <w:lang w:val="en-GB"/>
        </w:rPr>
        <w:t xml:space="preserve">, inspired </w:t>
      </w:r>
      <w:r w:rsidR="005A6178">
        <w:rPr>
          <w:rFonts w:asciiTheme="majorHAnsi" w:hAnsiTheme="majorHAnsi" w:cstheme="majorHAnsi"/>
          <w:b w:val="0"/>
          <w:bCs/>
          <w:sz w:val="24"/>
          <w:szCs w:val="24"/>
          <w:lang w:val="en-GB"/>
        </w:rPr>
        <w:t>by pharmaceutical experience</w:t>
      </w:r>
      <w:r w:rsidR="00C06FD9" w:rsidRPr="00C831DA">
        <w:rPr>
          <w:rFonts w:asciiTheme="majorHAnsi" w:hAnsiTheme="majorHAnsi" w:cstheme="majorHAnsi"/>
          <w:b w:val="0"/>
          <w:bCs/>
          <w:sz w:val="24"/>
          <w:szCs w:val="24"/>
          <w:lang w:val="en-GB"/>
        </w:rPr>
        <w:t xml:space="preserve">. </w:t>
      </w:r>
      <w:r w:rsidR="0037539F" w:rsidRPr="00C831DA">
        <w:rPr>
          <w:rFonts w:asciiTheme="majorHAnsi" w:hAnsiTheme="majorHAnsi" w:cstheme="majorHAnsi"/>
          <w:b w:val="0"/>
          <w:bCs/>
          <w:sz w:val="24"/>
          <w:szCs w:val="24"/>
          <w:lang w:val="en-GB"/>
        </w:rPr>
        <w:t>As major paradigm of these issues,</w:t>
      </w:r>
      <w:r w:rsidR="00C06FD9" w:rsidRPr="00C831DA">
        <w:rPr>
          <w:rFonts w:asciiTheme="majorHAnsi" w:hAnsiTheme="majorHAnsi" w:cstheme="majorHAnsi"/>
          <w:b w:val="0"/>
          <w:bCs/>
          <w:sz w:val="24"/>
          <w:szCs w:val="24"/>
          <w:lang w:val="en-GB"/>
        </w:rPr>
        <w:t xml:space="preserve"> </w:t>
      </w:r>
      <w:r w:rsidR="0037539F" w:rsidRPr="00C831DA">
        <w:rPr>
          <w:rFonts w:asciiTheme="majorHAnsi" w:hAnsiTheme="majorHAnsi" w:cstheme="majorHAnsi"/>
          <w:b w:val="0"/>
          <w:bCs/>
          <w:sz w:val="24"/>
          <w:szCs w:val="24"/>
          <w:lang w:val="en-GB"/>
        </w:rPr>
        <w:t xml:space="preserve">the author will report the facts regarding bioavailability of Vitamin D3 and the </w:t>
      </w:r>
      <w:r w:rsidR="005A6178">
        <w:rPr>
          <w:rFonts w:asciiTheme="majorHAnsi" w:hAnsiTheme="majorHAnsi" w:cstheme="majorHAnsi"/>
          <w:b w:val="0"/>
          <w:bCs/>
          <w:sz w:val="24"/>
          <w:szCs w:val="24"/>
          <w:lang w:val="en-GB"/>
        </w:rPr>
        <w:t xml:space="preserve">most promising </w:t>
      </w:r>
      <w:r w:rsidR="005A6178" w:rsidRPr="00C831DA">
        <w:rPr>
          <w:rFonts w:asciiTheme="majorHAnsi" w:hAnsiTheme="majorHAnsi" w:cstheme="majorHAnsi"/>
          <w:b w:val="0"/>
          <w:bCs/>
          <w:sz w:val="24"/>
          <w:szCs w:val="24"/>
          <w:lang w:val="en-GB"/>
        </w:rPr>
        <w:t>formulative</w:t>
      </w:r>
      <w:r w:rsidR="0037539F" w:rsidRPr="00C831DA">
        <w:rPr>
          <w:rFonts w:asciiTheme="majorHAnsi" w:hAnsiTheme="majorHAnsi" w:cstheme="majorHAnsi"/>
          <w:b w:val="0"/>
          <w:bCs/>
          <w:sz w:val="24"/>
          <w:szCs w:val="24"/>
          <w:lang w:val="en-GB"/>
        </w:rPr>
        <w:t xml:space="preserve"> and delivery approaches to improve it. Author will dedicate large space to the bibliographic analysis and testing strategies both </w:t>
      </w:r>
      <w:r w:rsidR="0037539F" w:rsidRPr="00C831DA">
        <w:rPr>
          <w:rFonts w:asciiTheme="majorHAnsi" w:hAnsiTheme="majorHAnsi" w:cstheme="majorHAnsi"/>
          <w:b w:val="0"/>
          <w:bCs/>
          <w:i/>
          <w:iCs/>
          <w:sz w:val="24"/>
          <w:szCs w:val="24"/>
          <w:lang w:val="en-GB"/>
        </w:rPr>
        <w:t>in vitro</w:t>
      </w:r>
      <w:r w:rsidR="0037539F" w:rsidRPr="00C831DA">
        <w:rPr>
          <w:rFonts w:asciiTheme="majorHAnsi" w:hAnsiTheme="majorHAnsi" w:cstheme="majorHAnsi"/>
          <w:b w:val="0"/>
          <w:bCs/>
          <w:sz w:val="24"/>
          <w:szCs w:val="24"/>
          <w:lang w:val="en-GB"/>
        </w:rPr>
        <w:t xml:space="preserve"> and </w:t>
      </w:r>
      <w:r w:rsidR="0037539F" w:rsidRPr="00C831DA">
        <w:rPr>
          <w:rFonts w:asciiTheme="majorHAnsi" w:hAnsiTheme="majorHAnsi" w:cstheme="majorHAnsi"/>
          <w:b w:val="0"/>
          <w:bCs/>
          <w:i/>
          <w:iCs/>
          <w:sz w:val="24"/>
          <w:szCs w:val="24"/>
          <w:lang w:val="en-GB"/>
        </w:rPr>
        <w:t>in vivo</w:t>
      </w:r>
      <w:r w:rsidR="0037539F" w:rsidRPr="00C831DA">
        <w:rPr>
          <w:rFonts w:asciiTheme="majorHAnsi" w:hAnsiTheme="majorHAnsi" w:cstheme="majorHAnsi"/>
          <w:b w:val="0"/>
          <w:bCs/>
          <w:sz w:val="24"/>
          <w:szCs w:val="24"/>
          <w:lang w:val="en-GB"/>
        </w:rPr>
        <w:t xml:space="preserve"> to substantiate formulative approaches proof of evidences.   </w:t>
      </w:r>
    </w:p>
    <w:p w14:paraId="7C9BDC35" w14:textId="025BE3FB" w:rsidR="00C831DA" w:rsidRDefault="00C831DA" w:rsidP="00C831DA">
      <w:pPr>
        <w:rPr>
          <w:lang w:val="en-GB"/>
        </w:rPr>
      </w:pPr>
    </w:p>
    <w:p w14:paraId="50832A1B" w14:textId="7E3FDC3E" w:rsidR="001B219D" w:rsidRDefault="00ED595C" w:rsidP="00C831DA">
      <w:pPr>
        <w:pStyle w:val="Titolo3"/>
        <w:spacing w:before="74"/>
        <w:ind w:left="0"/>
        <w:rPr>
          <w:color w:val="BF5A14"/>
        </w:rPr>
      </w:pPr>
      <w:r>
        <w:rPr>
          <w:color w:val="BF5A14"/>
        </w:rPr>
        <w:t>Recent Publications (minimum 5)</w:t>
      </w:r>
    </w:p>
    <w:p w14:paraId="72F12244" w14:textId="77777777" w:rsidR="00770846" w:rsidRPr="00770846" w:rsidRDefault="00770846" w:rsidP="00770846">
      <w:pPr>
        <w:rPr>
          <w:lang w:val="en-GB"/>
        </w:rPr>
      </w:pPr>
    </w:p>
    <w:p w14:paraId="4D820CAA" w14:textId="77777777" w:rsidR="00D05ABC" w:rsidRPr="00C831DA" w:rsidRDefault="00D05ABC" w:rsidP="00770846">
      <w:pPr>
        <w:widowControl/>
        <w:numPr>
          <w:ilvl w:val="0"/>
          <w:numId w:val="2"/>
        </w:numPr>
        <w:suppressAutoHyphens/>
        <w:autoSpaceDN w:val="0"/>
        <w:spacing w:after="160"/>
        <w:ind w:left="782"/>
        <w:jc w:val="both"/>
        <w:textAlignment w:val="baseline"/>
        <w:rPr>
          <w:rFonts w:asciiTheme="majorHAnsi" w:hAnsiTheme="majorHAnsi" w:cstheme="majorHAnsi"/>
          <w:sz w:val="20"/>
          <w:szCs w:val="20"/>
        </w:rPr>
      </w:pPr>
      <w:r w:rsidRPr="00C831DA">
        <w:rPr>
          <w:rFonts w:asciiTheme="majorHAnsi" w:eastAsia="Times New Roman" w:hAnsiTheme="majorHAnsi" w:cstheme="majorHAnsi"/>
          <w:kern w:val="3"/>
          <w:sz w:val="20"/>
          <w:szCs w:val="20"/>
          <w:lang w:val="en-GB"/>
        </w:rPr>
        <w:t>Fratter A. Pellizzato M. Novel micellar system for Vitamin D3 oral delivery: Assessment of enteric absorption through a digestion-like </w:t>
      </w:r>
      <w:r w:rsidRPr="00C831DA">
        <w:rPr>
          <w:rFonts w:asciiTheme="majorHAnsi" w:eastAsia="Times New Roman" w:hAnsiTheme="majorHAnsi" w:cstheme="majorHAnsi"/>
          <w:i/>
          <w:iCs/>
          <w:kern w:val="3"/>
          <w:sz w:val="20"/>
          <w:szCs w:val="20"/>
          <w:lang w:val="en-GB"/>
        </w:rPr>
        <w:t>in vitro</w:t>
      </w:r>
      <w:r w:rsidRPr="00C831DA">
        <w:rPr>
          <w:rFonts w:asciiTheme="majorHAnsi" w:eastAsia="Times New Roman" w:hAnsiTheme="majorHAnsi" w:cstheme="majorHAnsi"/>
          <w:kern w:val="3"/>
          <w:sz w:val="20"/>
          <w:szCs w:val="20"/>
          <w:lang w:val="en-GB"/>
        </w:rPr>
        <w:t xml:space="preserve"> model. JDDST, </w:t>
      </w:r>
      <w:hyperlink r:id="rId9" w:tooltip="Go to table of contents for this volume/issue" w:history="1">
        <w:r w:rsidRPr="00C831DA">
          <w:rPr>
            <w:rFonts w:asciiTheme="majorHAnsi" w:eastAsia="Times New Roman" w:hAnsiTheme="majorHAnsi" w:cstheme="majorHAnsi"/>
            <w:sz w:val="20"/>
            <w:szCs w:val="20"/>
            <w:lang w:val="en-GB"/>
          </w:rPr>
          <w:t>Volume 59</w:t>
        </w:r>
      </w:hyperlink>
      <w:r w:rsidRPr="00C831DA">
        <w:rPr>
          <w:rFonts w:asciiTheme="majorHAnsi" w:eastAsia="Times New Roman" w:hAnsiTheme="majorHAnsi" w:cstheme="majorHAnsi"/>
          <w:sz w:val="20"/>
          <w:szCs w:val="20"/>
          <w:lang w:val="en-GB"/>
        </w:rPr>
        <w:t>, October 2020, 101840.</w:t>
      </w:r>
    </w:p>
    <w:p w14:paraId="112CC627" w14:textId="77777777" w:rsidR="00D05ABC" w:rsidRPr="00C831DA" w:rsidRDefault="00F10D26" w:rsidP="00770846">
      <w:pPr>
        <w:pStyle w:val="Paragrafoelenco"/>
        <w:numPr>
          <w:ilvl w:val="0"/>
          <w:numId w:val="2"/>
        </w:numPr>
        <w:shd w:val="clear" w:color="auto" w:fill="FFFFFF"/>
        <w:autoSpaceDN w:val="0"/>
        <w:spacing w:after="200"/>
        <w:ind w:left="782"/>
        <w:contextualSpacing w:val="0"/>
        <w:jc w:val="both"/>
        <w:rPr>
          <w:rFonts w:asciiTheme="majorHAnsi" w:hAnsiTheme="majorHAnsi" w:cstheme="majorHAnsi"/>
          <w:sz w:val="20"/>
          <w:szCs w:val="20"/>
        </w:rPr>
      </w:pPr>
      <w:hyperlink r:id="rId10" w:history="1">
        <w:proofErr w:type="spellStart"/>
        <w:r w:rsidR="00D05ABC" w:rsidRPr="00C831DA">
          <w:rPr>
            <w:rFonts w:asciiTheme="majorHAnsi" w:eastAsia="Times New Roman" w:hAnsiTheme="majorHAnsi" w:cstheme="majorHAnsi"/>
            <w:sz w:val="20"/>
            <w:szCs w:val="20"/>
            <w:lang w:val="en-US"/>
          </w:rPr>
          <w:t>Satia</w:t>
        </w:r>
        <w:proofErr w:type="spellEnd"/>
        <w:r w:rsidR="00D05ABC" w:rsidRPr="00C831DA">
          <w:rPr>
            <w:rFonts w:asciiTheme="majorHAnsi" w:eastAsia="Times New Roman" w:hAnsiTheme="majorHAnsi" w:cstheme="majorHAnsi"/>
            <w:sz w:val="20"/>
            <w:szCs w:val="20"/>
            <w:lang w:val="en-US"/>
          </w:rPr>
          <w:t> MC</w:t>
        </w:r>
      </w:hyperlink>
      <w:r w:rsidR="00D05ABC" w:rsidRPr="00C831DA">
        <w:rPr>
          <w:rFonts w:asciiTheme="majorHAnsi" w:eastAsia="Times New Roman" w:hAnsiTheme="majorHAnsi" w:cstheme="majorHAnsi"/>
          <w:sz w:val="20"/>
          <w:szCs w:val="20"/>
          <w:lang w:val="en-US"/>
        </w:rPr>
        <w:t>, </w:t>
      </w:r>
      <w:hyperlink r:id="rId11" w:history="1">
        <w:r w:rsidR="00D05ABC" w:rsidRPr="00C831DA">
          <w:rPr>
            <w:rFonts w:asciiTheme="majorHAnsi" w:eastAsia="Times New Roman" w:hAnsiTheme="majorHAnsi" w:cstheme="majorHAnsi"/>
            <w:sz w:val="20"/>
            <w:szCs w:val="20"/>
            <w:lang w:val="en-US"/>
          </w:rPr>
          <w:t>Mukim AG</w:t>
        </w:r>
      </w:hyperlink>
      <w:r w:rsidR="00D05ABC" w:rsidRPr="00C831DA">
        <w:rPr>
          <w:rFonts w:asciiTheme="majorHAnsi" w:eastAsia="Times New Roman" w:hAnsiTheme="majorHAnsi" w:cstheme="majorHAnsi"/>
          <w:sz w:val="20"/>
          <w:szCs w:val="20"/>
          <w:lang w:val="en-US"/>
        </w:rPr>
        <w:t>, </w:t>
      </w:r>
      <w:proofErr w:type="spellStart"/>
      <w:r w:rsidR="00D05ABC" w:rsidRPr="00C831DA">
        <w:rPr>
          <w:rFonts w:asciiTheme="majorHAnsi" w:hAnsiTheme="majorHAnsi" w:cstheme="majorHAnsi"/>
          <w:sz w:val="20"/>
          <w:szCs w:val="20"/>
        </w:rPr>
        <w:fldChar w:fldCharType="begin"/>
      </w:r>
      <w:r w:rsidR="00D05ABC" w:rsidRPr="00C831DA">
        <w:rPr>
          <w:rFonts w:asciiTheme="majorHAnsi" w:hAnsiTheme="majorHAnsi" w:cstheme="majorHAnsi"/>
          <w:sz w:val="20"/>
          <w:szCs w:val="20"/>
          <w:lang w:val="en-US"/>
        </w:rPr>
        <w:instrText xml:space="preserve"> HYPERLINK  "https://www.ncbi.nlm.nih.gov/pubmed/?term=Tibrewala KD%5BAuthor%5D&amp;cauthor=true&amp;cauthor_uid=26514332" </w:instrText>
      </w:r>
      <w:r w:rsidR="00D05ABC" w:rsidRPr="00C831DA">
        <w:rPr>
          <w:rFonts w:asciiTheme="majorHAnsi" w:hAnsiTheme="majorHAnsi" w:cstheme="majorHAnsi"/>
          <w:sz w:val="20"/>
          <w:szCs w:val="20"/>
        </w:rPr>
        <w:fldChar w:fldCharType="separate"/>
      </w:r>
      <w:r w:rsidR="00D05ABC" w:rsidRPr="00C831DA">
        <w:rPr>
          <w:rFonts w:asciiTheme="majorHAnsi" w:eastAsia="Times New Roman" w:hAnsiTheme="majorHAnsi" w:cstheme="majorHAnsi"/>
          <w:sz w:val="20"/>
          <w:szCs w:val="20"/>
          <w:lang w:val="en-US"/>
        </w:rPr>
        <w:t>Tibrewala</w:t>
      </w:r>
      <w:proofErr w:type="spellEnd"/>
      <w:r w:rsidR="00D05ABC" w:rsidRPr="00C831D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 KD</w:t>
      </w:r>
      <w:r w:rsidR="00D05ABC" w:rsidRPr="00C831DA">
        <w:rPr>
          <w:rFonts w:asciiTheme="majorHAnsi" w:eastAsia="Times New Roman" w:hAnsiTheme="majorHAnsi" w:cstheme="majorHAnsi"/>
          <w:sz w:val="20"/>
          <w:szCs w:val="20"/>
          <w:lang w:val="en-GB"/>
        </w:rPr>
        <w:fldChar w:fldCharType="end"/>
      </w:r>
      <w:r w:rsidR="00D05ABC" w:rsidRPr="00C831DA">
        <w:rPr>
          <w:rFonts w:asciiTheme="majorHAnsi" w:eastAsia="Times New Roman" w:hAnsiTheme="majorHAnsi" w:cstheme="majorHAnsi"/>
          <w:sz w:val="20"/>
          <w:szCs w:val="20"/>
          <w:lang w:val="en-US"/>
        </w:rPr>
        <w:t>, </w:t>
      </w:r>
      <w:hyperlink r:id="rId12" w:history="1">
        <w:r w:rsidR="00D05ABC" w:rsidRPr="00C831DA">
          <w:rPr>
            <w:rFonts w:asciiTheme="majorHAnsi" w:eastAsia="Times New Roman" w:hAnsiTheme="majorHAnsi" w:cstheme="majorHAnsi"/>
            <w:sz w:val="20"/>
            <w:szCs w:val="20"/>
            <w:lang w:val="en-US"/>
          </w:rPr>
          <w:t>Bhavsar MS</w:t>
        </w:r>
      </w:hyperlink>
      <w:r w:rsidR="00D05ABC" w:rsidRPr="00C831DA">
        <w:rPr>
          <w:rFonts w:asciiTheme="majorHAnsi" w:eastAsia="Times New Roman" w:hAnsiTheme="majorHAnsi" w:cstheme="majorHAnsi"/>
          <w:sz w:val="20"/>
          <w:szCs w:val="20"/>
          <w:lang w:val="en-US"/>
        </w:rPr>
        <w:t xml:space="preserve">. </w:t>
      </w:r>
      <w:r w:rsidR="00D05ABC" w:rsidRPr="00C831DA">
        <w:rPr>
          <w:rFonts w:asciiTheme="majorHAnsi" w:eastAsia="Times New Roman" w:hAnsiTheme="majorHAnsi" w:cstheme="majorHAnsi"/>
          <w:kern w:val="3"/>
          <w:sz w:val="20"/>
          <w:szCs w:val="20"/>
          <w:lang w:val="en-GB"/>
        </w:rPr>
        <w:t xml:space="preserve">A randomized two-way cross over study for comparison of absorption of vitamin D3 buccal spray and soft </w:t>
      </w:r>
      <w:proofErr w:type="spellStart"/>
      <w:r w:rsidR="00D05ABC" w:rsidRPr="00C831DA">
        <w:rPr>
          <w:rFonts w:asciiTheme="majorHAnsi" w:eastAsia="Times New Roman" w:hAnsiTheme="majorHAnsi" w:cstheme="majorHAnsi"/>
          <w:kern w:val="3"/>
          <w:sz w:val="20"/>
          <w:szCs w:val="20"/>
          <w:lang w:val="en-GB"/>
        </w:rPr>
        <w:t>gelatin</w:t>
      </w:r>
      <w:proofErr w:type="spellEnd"/>
      <w:r w:rsidR="00D05ABC" w:rsidRPr="00C831DA">
        <w:rPr>
          <w:rFonts w:asciiTheme="majorHAnsi" w:eastAsia="Times New Roman" w:hAnsiTheme="majorHAnsi" w:cstheme="majorHAnsi"/>
          <w:kern w:val="3"/>
          <w:sz w:val="20"/>
          <w:szCs w:val="20"/>
          <w:lang w:val="en-GB"/>
        </w:rPr>
        <w:t xml:space="preserve"> capsule formulation in healthy subjects and in patients with intestinal malabsorption. </w:t>
      </w:r>
      <w:hyperlink r:id="rId13" w:tooltip="Nutrition journal." w:history="1">
        <w:proofErr w:type="spellStart"/>
        <w:r w:rsidR="00D05ABC" w:rsidRPr="00C831DA">
          <w:rPr>
            <w:rFonts w:asciiTheme="majorHAnsi" w:eastAsia="Times New Roman" w:hAnsiTheme="majorHAnsi" w:cstheme="majorHAnsi"/>
            <w:sz w:val="20"/>
            <w:szCs w:val="20"/>
            <w:lang w:val="en-GB"/>
          </w:rPr>
          <w:t>Nutr</w:t>
        </w:r>
        <w:proofErr w:type="spellEnd"/>
        <w:r w:rsidR="00D05ABC" w:rsidRPr="00C831DA">
          <w:rPr>
            <w:rFonts w:asciiTheme="majorHAnsi" w:eastAsia="Times New Roman" w:hAnsiTheme="majorHAnsi" w:cstheme="majorHAnsi"/>
            <w:sz w:val="20"/>
            <w:szCs w:val="20"/>
            <w:lang w:val="en-GB"/>
          </w:rPr>
          <w:t xml:space="preserve"> J.</w:t>
        </w:r>
      </w:hyperlink>
      <w:r w:rsidR="00D05ABC" w:rsidRPr="00C831DA">
        <w:rPr>
          <w:rFonts w:asciiTheme="majorHAnsi" w:eastAsia="Times New Roman" w:hAnsiTheme="majorHAnsi" w:cstheme="majorHAnsi"/>
          <w:sz w:val="20"/>
          <w:szCs w:val="20"/>
          <w:lang w:val="en-GB"/>
        </w:rPr>
        <w:t xml:space="preserve"> 2015 </w:t>
      </w:r>
      <w:proofErr w:type="gramStart"/>
      <w:r w:rsidR="00D05ABC" w:rsidRPr="00C831DA">
        <w:rPr>
          <w:rFonts w:asciiTheme="majorHAnsi" w:eastAsia="Times New Roman" w:hAnsiTheme="majorHAnsi" w:cstheme="majorHAnsi"/>
          <w:sz w:val="20"/>
          <w:szCs w:val="20"/>
          <w:lang w:val="en-GB"/>
        </w:rPr>
        <w:t>29;14:114</w:t>
      </w:r>
      <w:proofErr w:type="gramEnd"/>
      <w:r w:rsidR="00D05ABC" w:rsidRPr="00C831DA">
        <w:rPr>
          <w:rFonts w:asciiTheme="majorHAnsi" w:eastAsia="Times New Roman" w:hAnsiTheme="majorHAnsi" w:cstheme="majorHAnsi"/>
          <w:sz w:val="20"/>
          <w:szCs w:val="20"/>
          <w:lang w:val="en-GB"/>
        </w:rPr>
        <w:t>.</w:t>
      </w:r>
    </w:p>
    <w:p w14:paraId="7DBA8B53" w14:textId="33F5F934" w:rsidR="00D05ABC" w:rsidRPr="00C831DA" w:rsidRDefault="00F10D26" w:rsidP="00770846">
      <w:pPr>
        <w:pStyle w:val="Paragrafoelenco"/>
        <w:numPr>
          <w:ilvl w:val="0"/>
          <w:numId w:val="2"/>
        </w:numPr>
        <w:shd w:val="clear" w:color="auto" w:fill="FFFFFF"/>
        <w:autoSpaceDN w:val="0"/>
        <w:spacing w:before="120" w:after="120"/>
        <w:ind w:left="782"/>
        <w:contextualSpacing w:val="0"/>
        <w:jc w:val="both"/>
        <w:rPr>
          <w:rFonts w:asciiTheme="majorHAnsi" w:hAnsiTheme="majorHAnsi" w:cstheme="majorHAnsi"/>
          <w:sz w:val="20"/>
          <w:szCs w:val="20"/>
        </w:rPr>
      </w:pPr>
      <w:hyperlink r:id="rId14" w:history="1">
        <w:r w:rsidR="00D05ABC" w:rsidRPr="00C831DA">
          <w:rPr>
            <w:rFonts w:asciiTheme="majorHAnsi" w:eastAsia="Times New Roman" w:hAnsiTheme="majorHAnsi" w:cstheme="majorHAnsi"/>
            <w:sz w:val="20"/>
            <w:szCs w:val="20"/>
            <w:lang w:val="en-GB"/>
          </w:rPr>
          <w:t>Marwaha RK</w:t>
        </w:r>
      </w:hyperlink>
      <w:r w:rsidR="00D05ABC" w:rsidRPr="00C831DA">
        <w:rPr>
          <w:rFonts w:asciiTheme="majorHAnsi" w:eastAsia="Times New Roman" w:hAnsiTheme="majorHAnsi" w:cstheme="majorHAnsi"/>
          <w:sz w:val="20"/>
          <w:szCs w:val="20"/>
          <w:lang w:val="en-GB"/>
        </w:rPr>
        <w:t xml:space="preserve"> et al. </w:t>
      </w:r>
      <w:r w:rsidR="00D05ABC" w:rsidRPr="00C831DA">
        <w:rPr>
          <w:rFonts w:asciiTheme="majorHAnsi" w:eastAsia="Times New Roman" w:hAnsiTheme="majorHAnsi" w:cstheme="majorHAnsi"/>
          <w:kern w:val="3"/>
          <w:sz w:val="20"/>
          <w:szCs w:val="20"/>
          <w:lang w:val="en-GB"/>
        </w:rPr>
        <w:t xml:space="preserve">Efficacy of micellized vs. fat-soluble vitamin D3 supplementation in healthy school children from Northern India. </w:t>
      </w:r>
      <w:hyperlink r:id="rId15" w:tooltip="Journal of pediatric endocrinology &amp; metabolism : JPEM." w:history="1">
        <w:r w:rsidR="00D05ABC" w:rsidRPr="00C831DA">
          <w:rPr>
            <w:rFonts w:asciiTheme="majorHAnsi" w:eastAsia="Times New Roman" w:hAnsiTheme="majorHAnsi" w:cstheme="majorHAnsi"/>
            <w:sz w:val="20"/>
            <w:szCs w:val="20"/>
            <w:lang w:val="en-GB"/>
          </w:rPr>
          <w:t xml:space="preserve">J </w:t>
        </w:r>
        <w:proofErr w:type="spellStart"/>
        <w:r w:rsidR="00D05ABC" w:rsidRPr="00C831DA">
          <w:rPr>
            <w:rFonts w:asciiTheme="majorHAnsi" w:eastAsia="Times New Roman" w:hAnsiTheme="majorHAnsi" w:cstheme="majorHAnsi"/>
            <w:sz w:val="20"/>
            <w:szCs w:val="20"/>
            <w:lang w:val="en-GB"/>
          </w:rPr>
          <w:t>Pediatr</w:t>
        </w:r>
        <w:proofErr w:type="spellEnd"/>
        <w:r w:rsidR="00D05ABC" w:rsidRPr="00C831DA">
          <w:rPr>
            <w:rFonts w:asciiTheme="majorHAnsi" w:eastAsia="Times New Roman" w:hAnsiTheme="majorHAnsi" w:cstheme="majorHAnsi"/>
            <w:sz w:val="20"/>
            <w:szCs w:val="20"/>
            <w:lang w:val="en-GB"/>
          </w:rPr>
          <w:t xml:space="preserve"> Endocrinol </w:t>
        </w:r>
        <w:proofErr w:type="spellStart"/>
        <w:r w:rsidR="00D05ABC" w:rsidRPr="00C831DA">
          <w:rPr>
            <w:rFonts w:asciiTheme="majorHAnsi" w:eastAsia="Times New Roman" w:hAnsiTheme="majorHAnsi" w:cstheme="majorHAnsi"/>
            <w:sz w:val="20"/>
            <w:szCs w:val="20"/>
            <w:lang w:val="en-GB"/>
          </w:rPr>
          <w:t>Metab</w:t>
        </w:r>
        <w:proofErr w:type="spellEnd"/>
        <w:r w:rsidR="00D05ABC" w:rsidRPr="00C831DA">
          <w:rPr>
            <w:rFonts w:asciiTheme="majorHAnsi" w:eastAsia="Times New Roman" w:hAnsiTheme="majorHAnsi" w:cstheme="majorHAnsi"/>
            <w:sz w:val="20"/>
            <w:szCs w:val="20"/>
            <w:lang w:val="en-GB"/>
          </w:rPr>
          <w:t>.</w:t>
        </w:r>
      </w:hyperlink>
      <w:r w:rsidR="00D05ABC" w:rsidRPr="00C831DA">
        <w:rPr>
          <w:rFonts w:asciiTheme="majorHAnsi" w:eastAsia="Times New Roman" w:hAnsiTheme="majorHAnsi" w:cstheme="majorHAnsi"/>
          <w:sz w:val="20"/>
          <w:szCs w:val="20"/>
          <w:lang w:val="en-GB"/>
        </w:rPr>
        <w:t> 2016; 1;29(12):1373-1377.</w:t>
      </w:r>
      <w:r w:rsidR="00D05ABC" w:rsidRPr="00C831DA">
        <w:rPr>
          <w:rFonts w:asciiTheme="majorHAnsi" w:eastAsia="Times New Roman" w:hAnsiTheme="majorHAnsi" w:cstheme="majorHAnsi"/>
          <w:color w:val="212121"/>
          <w:sz w:val="20"/>
          <w:szCs w:val="20"/>
        </w:rPr>
        <w:t xml:space="preserve"> </w:t>
      </w:r>
    </w:p>
    <w:p w14:paraId="0E2F2DC2" w14:textId="3A2FCC97" w:rsidR="00770846" w:rsidRPr="00770846" w:rsidRDefault="00F10D26" w:rsidP="00770846">
      <w:pPr>
        <w:pStyle w:val="Paragrafoelenco"/>
        <w:numPr>
          <w:ilvl w:val="0"/>
          <w:numId w:val="2"/>
        </w:numPr>
        <w:shd w:val="clear" w:color="auto" w:fill="FFFFFF"/>
        <w:spacing w:before="120" w:after="120"/>
        <w:ind w:left="782"/>
        <w:jc w:val="both"/>
        <w:outlineLvl w:val="0"/>
        <w:rPr>
          <w:rFonts w:asciiTheme="majorHAnsi" w:eastAsia="Times New Roman" w:hAnsiTheme="majorHAnsi" w:cstheme="majorHAnsi"/>
          <w:kern w:val="36"/>
          <w:sz w:val="20"/>
          <w:szCs w:val="20"/>
          <w:lang w:val="en-GB"/>
        </w:rPr>
      </w:pPr>
      <w:hyperlink r:id="rId16" w:history="1">
        <w:r w:rsidR="00770846" w:rsidRPr="00770846">
          <w:rPr>
            <w:rFonts w:asciiTheme="majorHAnsi" w:eastAsia="Times New Roman" w:hAnsiTheme="majorHAnsi" w:cstheme="majorHAnsi"/>
            <w:sz w:val="20"/>
            <w:szCs w:val="20"/>
            <w:lang w:val="en-GB"/>
          </w:rPr>
          <w:t>Marwaha RK</w:t>
        </w:r>
      </w:hyperlink>
      <w:r w:rsidR="00770846" w:rsidRPr="00770846">
        <w:rPr>
          <w:rFonts w:asciiTheme="majorHAnsi" w:eastAsia="Times New Roman" w:hAnsiTheme="majorHAnsi" w:cstheme="majorHAnsi"/>
          <w:sz w:val="20"/>
          <w:szCs w:val="20"/>
          <w:lang w:val="en-GB"/>
        </w:rPr>
        <w:t xml:space="preserve">. </w:t>
      </w:r>
      <w:r w:rsidR="00770846" w:rsidRPr="00770846">
        <w:rPr>
          <w:rFonts w:asciiTheme="majorHAnsi" w:eastAsia="Times New Roman" w:hAnsiTheme="majorHAnsi" w:cstheme="majorHAnsi"/>
          <w:kern w:val="36"/>
          <w:sz w:val="20"/>
          <w:szCs w:val="20"/>
          <w:lang w:val="en-GB"/>
        </w:rPr>
        <w:t xml:space="preserve">A randomised controlled trial comparing the efficacy of micellised and fat-soluble vitamin D3 supplementation in healthy adults. </w:t>
      </w:r>
      <w:hyperlink r:id="rId17" w:tooltip="The British journal of nutrition." w:history="1">
        <w:r w:rsidR="00770846" w:rsidRPr="00770846">
          <w:rPr>
            <w:rFonts w:asciiTheme="majorHAnsi" w:eastAsia="Times New Roman" w:hAnsiTheme="majorHAnsi" w:cstheme="majorHAnsi"/>
            <w:sz w:val="20"/>
            <w:szCs w:val="20"/>
          </w:rPr>
          <w:t xml:space="preserve">Br J </w:t>
        </w:r>
        <w:proofErr w:type="spellStart"/>
        <w:r w:rsidR="00770846" w:rsidRPr="00770846">
          <w:rPr>
            <w:rFonts w:asciiTheme="majorHAnsi" w:eastAsia="Times New Roman" w:hAnsiTheme="majorHAnsi" w:cstheme="majorHAnsi"/>
            <w:sz w:val="20"/>
            <w:szCs w:val="20"/>
          </w:rPr>
          <w:t>Nutr</w:t>
        </w:r>
        <w:proofErr w:type="spellEnd"/>
        <w:r w:rsidR="00770846" w:rsidRPr="00770846">
          <w:rPr>
            <w:rFonts w:asciiTheme="majorHAnsi" w:eastAsia="Times New Roman" w:hAnsiTheme="majorHAnsi" w:cstheme="majorHAnsi"/>
            <w:sz w:val="20"/>
            <w:szCs w:val="20"/>
          </w:rPr>
          <w:t>.</w:t>
        </w:r>
      </w:hyperlink>
      <w:r w:rsidR="00770846" w:rsidRPr="00770846">
        <w:rPr>
          <w:rFonts w:asciiTheme="majorHAnsi" w:eastAsia="Times New Roman" w:hAnsiTheme="majorHAnsi" w:cstheme="majorHAnsi"/>
          <w:sz w:val="20"/>
          <w:szCs w:val="20"/>
        </w:rPr>
        <w:t> 2019 Apr;121(8):859-865.</w:t>
      </w:r>
    </w:p>
    <w:p w14:paraId="56C88144" w14:textId="77777777" w:rsidR="00770846" w:rsidRPr="00770846" w:rsidRDefault="00770846" w:rsidP="00770846">
      <w:pPr>
        <w:pStyle w:val="Paragrafoelenco"/>
        <w:shd w:val="clear" w:color="auto" w:fill="FFFFFF"/>
        <w:spacing w:before="120" w:after="120"/>
        <w:ind w:left="782"/>
        <w:jc w:val="both"/>
        <w:outlineLvl w:val="0"/>
        <w:rPr>
          <w:rFonts w:asciiTheme="majorHAnsi" w:eastAsia="Times New Roman" w:hAnsiTheme="majorHAnsi" w:cstheme="majorHAnsi"/>
          <w:kern w:val="36"/>
          <w:sz w:val="20"/>
          <w:szCs w:val="20"/>
          <w:lang w:val="en-GB"/>
        </w:rPr>
      </w:pPr>
    </w:p>
    <w:p w14:paraId="7E660D23" w14:textId="42C27C85" w:rsidR="00D05ABC" w:rsidRPr="00770846" w:rsidRDefault="00F10D26" w:rsidP="00770846">
      <w:pPr>
        <w:pStyle w:val="Paragrafoelenco"/>
        <w:numPr>
          <w:ilvl w:val="0"/>
          <w:numId w:val="2"/>
        </w:numPr>
        <w:shd w:val="clear" w:color="auto" w:fill="FFFFFF"/>
        <w:spacing w:before="120" w:after="120"/>
        <w:ind w:left="782"/>
        <w:jc w:val="both"/>
        <w:outlineLvl w:val="0"/>
        <w:rPr>
          <w:rFonts w:asciiTheme="majorHAnsi" w:eastAsia="Times New Roman" w:hAnsiTheme="majorHAnsi" w:cstheme="majorHAnsi"/>
          <w:kern w:val="36"/>
          <w:sz w:val="20"/>
          <w:szCs w:val="20"/>
          <w:lang w:val="en-GB"/>
        </w:rPr>
      </w:pPr>
      <w:hyperlink r:id="rId18" w:history="1">
        <w:r w:rsidR="00770846" w:rsidRPr="00770846">
          <w:rPr>
            <w:rStyle w:val="Collegamentoipertestuale"/>
            <w:rFonts w:asciiTheme="majorHAnsi" w:hAnsiTheme="majorHAnsi" w:cstheme="majorHAnsi"/>
            <w:color w:val="auto"/>
            <w:sz w:val="20"/>
            <w:szCs w:val="20"/>
            <w:u w:val="none"/>
            <w:lang w:val="en-GB"/>
          </w:rPr>
          <w:t>Lips P</w:t>
        </w:r>
      </w:hyperlink>
      <w:r w:rsidR="00770846" w:rsidRPr="00770846">
        <w:rPr>
          <w:rFonts w:asciiTheme="majorHAnsi" w:hAnsiTheme="majorHAnsi" w:cstheme="majorHAnsi"/>
          <w:sz w:val="20"/>
          <w:szCs w:val="20"/>
          <w:lang w:val="en-GB"/>
        </w:rPr>
        <w:t xml:space="preserve"> et al. Current vitamin D status in European and Middle East countries and strategies to prevent vitamin D deficiency: a position statement of the European Calcified Tissue Society. </w:t>
      </w:r>
      <w:hyperlink r:id="rId19" w:tooltip="European journal of endocrinology." w:history="1">
        <w:r w:rsidR="00770846" w:rsidRPr="00770846">
          <w:rPr>
            <w:rStyle w:val="Collegamentoipertestuale"/>
            <w:rFonts w:asciiTheme="majorHAnsi" w:hAnsiTheme="majorHAnsi" w:cstheme="majorHAnsi"/>
            <w:color w:val="auto"/>
            <w:sz w:val="20"/>
            <w:szCs w:val="20"/>
            <w:u w:val="none"/>
            <w:lang w:val="en-GB"/>
          </w:rPr>
          <w:t>Eur J Endocrinol.</w:t>
        </w:r>
      </w:hyperlink>
      <w:r w:rsidR="00770846" w:rsidRPr="00770846">
        <w:rPr>
          <w:rFonts w:asciiTheme="majorHAnsi" w:hAnsiTheme="majorHAnsi" w:cstheme="majorHAnsi"/>
          <w:sz w:val="20"/>
          <w:szCs w:val="20"/>
          <w:lang w:val="en-GB"/>
        </w:rPr>
        <w:t> 2019 Apr;180(4</w:t>
      </w:r>
      <w:proofErr w:type="gramStart"/>
      <w:r w:rsidR="00770846" w:rsidRPr="00770846">
        <w:rPr>
          <w:rFonts w:asciiTheme="majorHAnsi" w:hAnsiTheme="majorHAnsi" w:cstheme="majorHAnsi"/>
          <w:sz w:val="20"/>
          <w:szCs w:val="20"/>
          <w:lang w:val="en-GB"/>
        </w:rPr>
        <w:t>):P</w:t>
      </w:r>
      <w:proofErr w:type="gramEnd"/>
      <w:r w:rsidR="00770846" w:rsidRPr="00770846">
        <w:rPr>
          <w:rFonts w:asciiTheme="majorHAnsi" w:hAnsiTheme="majorHAnsi" w:cstheme="majorHAnsi"/>
          <w:sz w:val="20"/>
          <w:szCs w:val="20"/>
          <w:lang w:val="en-GB"/>
        </w:rPr>
        <w:t>23-P54.</w:t>
      </w:r>
    </w:p>
    <w:p w14:paraId="386C7BAA" w14:textId="77777777" w:rsidR="001B219D" w:rsidRDefault="001B219D">
      <w:pPr>
        <w:tabs>
          <w:tab w:val="left" w:pos="384"/>
        </w:tabs>
        <w:ind w:right="117"/>
      </w:pPr>
    </w:p>
    <w:p w14:paraId="34D0F808" w14:textId="77777777" w:rsidR="001B219D" w:rsidRDefault="00ED595C">
      <w:pPr>
        <w:spacing w:line="200" w:lineRule="auto"/>
        <w:jc w:val="both"/>
        <w:rPr>
          <w:rFonts w:ascii="Calibri" w:eastAsia="Calibri" w:hAnsi="Calibri" w:cs="Calibri"/>
        </w:rPr>
        <w:sectPr w:rsidR="001B219D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76" w:space="138"/>
            <w:col w:w="5276" w:space="0"/>
          </w:cols>
        </w:sectPr>
      </w:pPr>
      <w:r>
        <w:rPr>
          <w:rFonts w:ascii="Calibri" w:eastAsia="Calibri" w:hAnsi="Calibri" w:cs="Calibri"/>
        </w:rPr>
        <w:t xml:space="preserve">   </w:t>
      </w:r>
    </w:p>
    <w:p w14:paraId="4FC82B7D" w14:textId="77777777" w:rsidR="001B219D" w:rsidRDefault="001B219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4D39396B" w14:textId="777928AB" w:rsidR="001B219D" w:rsidRDefault="001B219D">
      <w:pPr>
        <w:pBdr>
          <w:top w:val="nil"/>
          <w:left w:val="nil"/>
          <w:bottom w:val="nil"/>
          <w:right w:val="nil"/>
          <w:between w:val="nil"/>
        </w:pBdr>
        <w:spacing w:line="40" w:lineRule="auto"/>
        <w:ind w:left="2202"/>
        <w:rPr>
          <w:rFonts w:ascii="Calibri" w:eastAsia="Calibri" w:hAnsi="Calibri" w:cs="Calibri"/>
          <w:color w:val="000000"/>
          <w:sz w:val="4"/>
          <w:szCs w:val="4"/>
        </w:rPr>
      </w:pPr>
    </w:p>
    <w:p w14:paraId="275CA400" w14:textId="4CBE1362" w:rsidR="001B219D" w:rsidRDefault="00ED595C">
      <w:pPr>
        <w:spacing w:before="92"/>
        <w:ind w:right="4234"/>
        <w:rPr>
          <w:rFonts w:ascii="Arial" w:eastAsia="Arial" w:hAnsi="Arial" w:cs="Arial"/>
        </w:rPr>
      </w:pPr>
      <w:r>
        <w:lastRenderedPageBreak/>
        <w:t xml:space="preserve">              </w:t>
      </w:r>
      <w:r w:rsidR="00C02805">
        <w:rPr>
          <w:noProof/>
        </w:rPr>
        <w:drawing>
          <wp:inline distT="0" distB="0" distL="0" distR="0" wp14:anchorId="0B4C2A34" wp14:editId="041FC2DE">
            <wp:extent cx="1066926" cy="1362075"/>
            <wp:effectExtent l="0" t="0" r="0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222" cy="1381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color w:val="BF5A14"/>
        </w:rPr>
        <w:t>Biography (</w:t>
      </w:r>
      <w:proofErr w:type="gramStart"/>
      <w:r>
        <w:rPr>
          <w:rFonts w:ascii="Arial" w:eastAsia="Arial" w:hAnsi="Arial" w:cs="Arial"/>
          <w:color w:val="BF5A14"/>
        </w:rPr>
        <w:t>150 word</w:t>
      </w:r>
      <w:proofErr w:type="gramEnd"/>
      <w:r>
        <w:rPr>
          <w:rFonts w:ascii="Arial" w:eastAsia="Arial" w:hAnsi="Arial" w:cs="Arial"/>
          <w:color w:val="BF5A14"/>
        </w:rPr>
        <w:t xml:space="preserve"> limit)</w:t>
      </w:r>
    </w:p>
    <w:p w14:paraId="280C5D95" w14:textId="44F4EFB8" w:rsidR="001B219D" w:rsidRPr="00A83D29" w:rsidRDefault="00A37244" w:rsidP="00793E60">
      <w:pPr>
        <w:spacing w:before="41" w:line="360" w:lineRule="auto"/>
        <w:ind w:left="213" w:right="231"/>
        <w:jc w:val="both"/>
        <w:rPr>
          <w:rFonts w:ascii="Arial" w:eastAsia="Arial" w:hAnsi="Arial" w:cs="Arial"/>
          <w:sz w:val="20"/>
          <w:szCs w:val="20"/>
        </w:rPr>
      </w:pPr>
      <w:r w:rsidRPr="00A83D29">
        <w:rPr>
          <w:rFonts w:ascii="Arial" w:eastAsia="Arial" w:hAnsi="Arial" w:cs="Arial"/>
          <w:sz w:val="20"/>
          <w:szCs w:val="20"/>
        </w:rPr>
        <w:t xml:space="preserve">Andrea Fratter is a nutraceutical scientist. His career developed in the field of innovation technology and improved </w:t>
      </w:r>
      <w:r w:rsidR="00C02805" w:rsidRPr="00A83D29">
        <w:rPr>
          <w:rFonts w:ascii="Arial" w:eastAsia="Arial" w:hAnsi="Arial" w:cs="Arial"/>
          <w:sz w:val="20"/>
          <w:szCs w:val="20"/>
        </w:rPr>
        <w:t xml:space="preserve">formulations </w:t>
      </w:r>
      <w:r w:rsidR="00100472" w:rsidRPr="00A83D29">
        <w:rPr>
          <w:rFonts w:ascii="Arial" w:eastAsia="Arial" w:hAnsi="Arial" w:cs="Arial"/>
          <w:sz w:val="20"/>
          <w:szCs w:val="20"/>
        </w:rPr>
        <w:t>applied to</w:t>
      </w:r>
      <w:r w:rsidRPr="00A83D29">
        <w:rPr>
          <w:rFonts w:ascii="Arial" w:eastAsia="Arial" w:hAnsi="Arial" w:cs="Arial"/>
          <w:sz w:val="20"/>
          <w:szCs w:val="20"/>
        </w:rPr>
        <w:t xml:space="preserve"> nutraceutical products and medicinal foods</w:t>
      </w:r>
      <w:r w:rsidR="00100472" w:rsidRPr="00A83D29">
        <w:rPr>
          <w:rFonts w:ascii="Arial" w:eastAsia="Arial" w:hAnsi="Arial" w:cs="Arial"/>
          <w:sz w:val="20"/>
          <w:szCs w:val="20"/>
        </w:rPr>
        <w:t>, in the most recognized and excellent third-party companies of Italy</w:t>
      </w:r>
      <w:r w:rsidRPr="00A83D29">
        <w:rPr>
          <w:rFonts w:ascii="Arial" w:eastAsia="Arial" w:hAnsi="Arial" w:cs="Arial"/>
          <w:sz w:val="20"/>
          <w:szCs w:val="20"/>
        </w:rPr>
        <w:t xml:space="preserve">. His major expertise is dedicated to delivery systems </w:t>
      </w:r>
      <w:r w:rsidR="00C02805" w:rsidRPr="00A83D29">
        <w:rPr>
          <w:rFonts w:ascii="Arial" w:eastAsia="Arial" w:hAnsi="Arial" w:cs="Arial"/>
          <w:sz w:val="20"/>
          <w:szCs w:val="20"/>
        </w:rPr>
        <w:t>conceptualization and designing</w:t>
      </w:r>
      <w:r w:rsidRPr="00A83D29">
        <w:rPr>
          <w:rFonts w:ascii="Arial" w:eastAsia="Arial" w:hAnsi="Arial" w:cs="Arial"/>
          <w:sz w:val="20"/>
          <w:szCs w:val="20"/>
        </w:rPr>
        <w:t xml:space="preserve"> and technological strategies to improve bioavailability of botanicals and poorly absorbed molecules</w:t>
      </w:r>
      <w:r w:rsidR="00ED595C" w:rsidRPr="00A83D29">
        <w:rPr>
          <w:rFonts w:ascii="Arial" w:eastAsia="Arial" w:hAnsi="Arial" w:cs="Arial"/>
          <w:sz w:val="20"/>
          <w:szCs w:val="20"/>
        </w:rPr>
        <w:t>.</w:t>
      </w:r>
      <w:r w:rsidRPr="00A83D29">
        <w:rPr>
          <w:rFonts w:ascii="Arial" w:eastAsia="Arial" w:hAnsi="Arial" w:cs="Arial"/>
          <w:sz w:val="20"/>
          <w:szCs w:val="20"/>
        </w:rPr>
        <w:t xml:space="preserve"> He</w:t>
      </w:r>
      <w:r w:rsidR="00100472" w:rsidRPr="00A83D29">
        <w:rPr>
          <w:rFonts w:ascii="Arial" w:eastAsia="Arial" w:hAnsi="Arial" w:cs="Arial"/>
          <w:sz w:val="20"/>
          <w:szCs w:val="20"/>
        </w:rPr>
        <w:t>’s author</w:t>
      </w:r>
      <w:r w:rsidRPr="00A83D29">
        <w:rPr>
          <w:rFonts w:ascii="Arial" w:eastAsia="Arial" w:hAnsi="Arial" w:cs="Arial"/>
          <w:sz w:val="20"/>
          <w:szCs w:val="20"/>
        </w:rPr>
        <w:t xml:space="preserve"> </w:t>
      </w:r>
      <w:r w:rsidR="00100472" w:rsidRPr="00A83D29">
        <w:rPr>
          <w:rFonts w:ascii="Arial" w:eastAsia="Arial" w:hAnsi="Arial" w:cs="Arial"/>
          <w:sz w:val="20"/>
          <w:szCs w:val="20"/>
        </w:rPr>
        <w:t>of more</w:t>
      </w:r>
      <w:r w:rsidRPr="00A83D29">
        <w:rPr>
          <w:rFonts w:ascii="Arial" w:eastAsia="Arial" w:hAnsi="Arial" w:cs="Arial"/>
          <w:sz w:val="20"/>
          <w:szCs w:val="20"/>
        </w:rPr>
        <w:t xml:space="preserve"> than 20 international </w:t>
      </w:r>
      <w:r w:rsidR="00100472" w:rsidRPr="00A83D29">
        <w:rPr>
          <w:rFonts w:ascii="Arial" w:eastAsia="Arial" w:hAnsi="Arial" w:cs="Arial"/>
          <w:sz w:val="20"/>
          <w:szCs w:val="20"/>
        </w:rPr>
        <w:t xml:space="preserve">granted </w:t>
      </w:r>
      <w:r w:rsidRPr="00A83D29">
        <w:rPr>
          <w:rFonts w:ascii="Arial" w:eastAsia="Arial" w:hAnsi="Arial" w:cs="Arial"/>
          <w:sz w:val="20"/>
          <w:szCs w:val="20"/>
        </w:rPr>
        <w:t>patents on the mentioned subject</w:t>
      </w:r>
      <w:r w:rsidR="00100472" w:rsidRPr="00A83D29">
        <w:rPr>
          <w:rFonts w:ascii="Arial" w:eastAsia="Arial" w:hAnsi="Arial" w:cs="Arial"/>
          <w:sz w:val="20"/>
          <w:szCs w:val="20"/>
        </w:rPr>
        <w:t>s</w:t>
      </w:r>
      <w:r w:rsidRPr="00A83D29">
        <w:rPr>
          <w:rFonts w:ascii="Arial" w:eastAsia="Arial" w:hAnsi="Arial" w:cs="Arial"/>
          <w:sz w:val="20"/>
          <w:szCs w:val="20"/>
        </w:rPr>
        <w:t xml:space="preserve"> and created several best </w:t>
      </w:r>
      <w:r w:rsidR="00C02805" w:rsidRPr="00A83D29">
        <w:rPr>
          <w:rFonts w:ascii="Arial" w:eastAsia="Arial" w:hAnsi="Arial" w:cs="Arial"/>
          <w:sz w:val="20"/>
          <w:szCs w:val="20"/>
        </w:rPr>
        <w:t>sellers’</w:t>
      </w:r>
      <w:r w:rsidRPr="00A83D29">
        <w:rPr>
          <w:rFonts w:ascii="Arial" w:eastAsia="Arial" w:hAnsi="Arial" w:cs="Arial"/>
          <w:sz w:val="20"/>
          <w:szCs w:val="20"/>
        </w:rPr>
        <w:t xml:space="preserve"> products in Italy and outside Italy.</w:t>
      </w:r>
      <w:r w:rsidR="00100472" w:rsidRPr="00A83D29">
        <w:rPr>
          <w:rFonts w:ascii="Arial" w:eastAsia="Arial" w:hAnsi="Arial" w:cs="Arial"/>
          <w:sz w:val="20"/>
          <w:szCs w:val="20"/>
        </w:rPr>
        <w:t xml:space="preserve"> He’s also author and co-author of several scientific original papers published in international indexed and impacted journals in the afore mentioned areas.</w:t>
      </w:r>
      <w:r w:rsidRPr="00A83D29">
        <w:rPr>
          <w:rFonts w:ascii="Arial" w:eastAsia="Arial" w:hAnsi="Arial" w:cs="Arial"/>
          <w:sz w:val="20"/>
          <w:szCs w:val="20"/>
        </w:rPr>
        <w:t xml:space="preserve"> Andrea Fratter is Lecturer at Master of Nutraceutical products, University of Pavia and Clinical Phytotherapy at University of Padova, Italy. </w:t>
      </w:r>
    </w:p>
    <w:p w14:paraId="7D6EDED6" w14:textId="1E807F92" w:rsidR="001B219D" w:rsidRDefault="00ED595C" w:rsidP="00793E60">
      <w:pPr>
        <w:spacing w:before="62" w:line="360" w:lineRule="auto"/>
        <w:ind w:left="4217" w:right="4235"/>
        <w:jc w:val="center"/>
        <w:rPr>
          <w:rFonts w:ascii="Arial" w:eastAsia="Arial" w:hAnsi="Arial" w:cs="Arial"/>
          <w:color w:val="0000FF"/>
          <w:sz w:val="28"/>
          <w:szCs w:val="28"/>
          <w:u w:val="single"/>
        </w:rPr>
      </w:pPr>
      <w:r w:rsidRPr="004B35DE">
        <w:rPr>
          <w:rFonts w:ascii="Arial" w:eastAsia="Arial" w:hAnsi="Arial" w:cs="Arial"/>
          <w:sz w:val="28"/>
          <w:szCs w:val="28"/>
        </w:rPr>
        <w:t xml:space="preserve">Email: </w:t>
      </w:r>
      <w:hyperlink r:id="rId21" w:history="1">
        <w:r w:rsidR="004B35DE" w:rsidRPr="004B35DE">
          <w:rPr>
            <w:rStyle w:val="Collegamentoipertestuale"/>
            <w:rFonts w:ascii="Arial" w:eastAsia="Arial" w:hAnsi="Arial" w:cs="Arial"/>
            <w:sz w:val="28"/>
            <w:szCs w:val="28"/>
          </w:rPr>
          <w:t>direttivo@sifnut.it</w:t>
        </w:r>
      </w:hyperlink>
    </w:p>
    <w:p w14:paraId="42AACE85" w14:textId="4D327AAD" w:rsidR="00793E60" w:rsidRPr="004B35DE" w:rsidRDefault="00793E60" w:rsidP="00793E60">
      <w:pPr>
        <w:spacing w:before="62"/>
        <w:ind w:right="4235"/>
        <w:rPr>
          <w:rFonts w:ascii="Arial" w:eastAsia="Arial" w:hAnsi="Arial" w:cs="Arial"/>
          <w:sz w:val="28"/>
          <w:szCs w:val="28"/>
        </w:rPr>
      </w:pPr>
      <w:r w:rsidRPr="00793E60">
        <w:rPr>
          <w:rFonts w:ascii="Arial" w:eastAsia="Arial" w:hAnsi="Arial" w:cs="Arial"/>
          <w:color w:val="0000FF"/>
          <w:sz w:val="28"/>
          <w:szCs w:val="28"/>
        </w:rPr>
        <w:t xml:space="preserve">                                           </w:t>
      </w:r>
      <w:r>
        <w:rPr>
          <w:rFonts w:ascii="Arial" w:eastAsia="Arial" w:hAnsi="Arial" w:cs="Arial"/>
          <w:color w:val="0000FF"/>
          <w:sz w:val="28"/>
          <w:szCs w:val="28"/>
          <w:u w:val="single"/>
        </w:rPr>
        <w:t>andrea.fratter74@alice.it</w:t>
      </w:r>
    </w:p>
    <w:p w14:paraId="2167C369" w14:textId="73316E39" w:rsidR="001B219D" w:rsidRDefault="001B219D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Arial" w:eastAsia="Arial" w:hAnsi="Arial" w:cs="Arial"/>
          <w:color w:val="000000"/>
          <w:sz w:val="19"/>
          <w:szCs w:val="19"/>
        </w:rPr>
      </w:pPr>
    </w:p>
    <w:p w14:paraId="24C05CCD" w14:textId="3D69A493" w:rsidR="001B219D" w:rsidRDefault="001B219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14:paraId="02B4ED28" w14:textId="77777777" w:rsidR="001B219D" w:rsidRDefault="001B219D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14:paraId="71FAD259" w14:textId="77777777" w:rsidR="001B219D" w:rsidRDefault="001B219D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rFonts w:ascii="Arial" w:eastAsia="Arial" w:hAnsi="Arial" w:cs="Arial"/>
          <w:color w:val="000000"/>
          <w:sz w:val="29"/>
          <w:szCs w:val="29"/>
        </w:rPr>
      </w:pPr>
    </w:p>
    <w:p w14:paraId="3E6490BA" w14:textId="77777777" w:rsidR="001B219D" w:rsidRDefault="00ED595C">
      <w:pPr>
        <w:spacing w:before="39"/>
        <w:ind w:left="100"/>
        <w:rPr>
          <w:rFonts w:ascii="EB Garamond" w:eastAsia="EB Garamond" w:hAnsi="EB Garamond" w:cs="EB Garamond"/>
          <w:b/>
          <w:sz w:val="20"/>
          <w:szCs w:val="20"/>
        </w:rPr>
        <w:sectPr w:rsidR="001B219D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EB Garamond" w:eastAsia="EB Garamond" w:hAnsi="EB Garamond" w:cs="EB Garamond"/>
          <w:b/>
          <w:sz w:val="20"/>
          <w:szCs w:val="20"/>
        </w:rPr>
        <w:t>Notes/Comments:</w:t>
      </w:r>
    </w:p>
    <w:p w14:paraId="33110BCF" w14:textId="77777777" w:rsidR="001B219D" w:rsidRDefault="001B219D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rFonts w:ascii="EB Garamond" w:eastAsia="EB Garamond" w:hAnsi="EB Garamond" w:cs="EB Garamond"/>
          <w:color w:val="000000"/>
          <w:sz w:val="26"/>
          <w:szCs w:val="26"/>
        </w:rPr>
      </w:pPr>
    </w:p>
    <w:sectPr w:rsidR="001B219D">
      <w:type w:val="continuous"/>
      <w:pgSz w:w="11910" w:h="16840"/>
      <w:pgMar w:top="1740" w:right="580" w:bottom="840" w:left="620" w:header="720" w:footer="720" w:gutter="0"/>
      <w:cols w:num="2" w:space="720" w:equalWidth="0">
        <w:col w:w="5286" w:space="138"/>
        <w:col w:w="5286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EA77EC" w14:textId="77777777" w:rsidR="00F10D26" w:rsidRDefault="00F10D26">
      <w:r>
        <w:separator/>
      </w:r>
    </w:p>
  </w:endnote>
  <w:endnote w:type="continuationSeparator" w:id="0">
    <w:p w14:paraId="599BB2EC" w14:textId="77777777" w:rsidR="00F10D26" w:rsidRDefault="00F10D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entieth Century">
    <w:altName w:val="Calibri"/>
    <w:charset w:val="00"/>
    <w:family w:val="auto"/>
    <w:pitch w:val="default"/>
  </w:font>
  <w:font w:name="EB Garamond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yriad Pro">
    <w:altName w:val="Segoe UI"/>
    <w:panose1 w:val="00000000000000000000"/>
    <w:charset w:val="00"/>
    <w:family w:val="roman"/>
    <w:notTrueType/>
    <w:pitch w:val="default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inion Pro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92324A" w14:textId="77777777" w:rsidR="001B219D" w:rsidRDefault="001B219D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32AC9D" w14:textId="77777777" w:rsidR="00F10D26" w:rsidRDefault="00F10D26">
      <w:r>
        <w:separator/>
      </w:r>
    </w:p>
  </w:footnote>
  <w:footnote w:type="continuationSeparator" w:id="0">
    <w:p w14:paraId="38A75A5F" w14:textId="77777777" w:rsidR="00F10D26" w:rsidRDefault="00F10D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0F8F7D" w14:textId="77777777" w:rsidR="001B219D" w:rsidRDefault="00ED595C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18"/>
        <w:szCs w:val="18"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6F7C3DBF" wp14:editId="0C59AA79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8996ED" w14:textId="77777777" w:rsidR="00AE3E37" w:rsidRPr="004B35DE" w:rsidRDefault="00ED595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  <w:lang w:val="pt-BR"/>
                            </w:rPr>
                          </w:pPr>
                          <w:r w:rsidRPr="004B35DE">
                            <w:rPr>
                              <w:rFonts w:ascii="Arial"/>
                              <w:color w:val="FFFFFF" w:themeColor="background1"/>
                              <w:sz w:val="14"/>
                              <w:lang w:val="pt-BR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4B35DE">
                              <w:rPr>
                                <w:rFonts w:ascii="Arial"/>
                                <w:color w:val="FFFFFF" w:themeColor="background1"/>
                                <w:sz w:val="14"/>
                                <w:lang w:val="pt-BR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7C3DBF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416pt;margin-top:26.05pt;width:144.3pt;height:17.4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" filled="f" stroked="f">
              <v:textbox inset="0,0,0,0">
                <w:txbxContent>
                  <w:p w14:paraId="618996ED" w14:textId="77777777" w:rsidR="00AE3E37" w:rsidRPr="004B35DE" w:rsidRDefault="00ED595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  <w:lang w:val="pt-BR"/>
                      </w:rPr>
                    </w:pPr>
                    <w:r w:rsidRPr="004B35DE">
                      <w:rPr>
                        <w:rFonts w:ascii="Arial"/>
                        <w:color w:val="FFFFFF" w:themeColor="background1"/>
                        <w:sz w:val="14"/>
                        <w:lang w:val="pt-BR"/>
                      </w:rPr>
                      <w:t xml:space="preserve">T Furuta et al., J Pai n Relief 2016, 5:3(Suppl) </w:t>
                    </w:r>
                    <w:hyperlink r:id="rId2">
                      <w:r w:rsidRPr="004B35DE">
                        <w:rPr>
                          <w:rFonts w:ascii="Arial"/>
                          <w:color w:val="FFFFFF" w:themeColor="background1"/>
                          <w:sz w:val="14"/>
                          <w:lang w:val="pt-BR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color w:val="000000"/>
        <w:sz w:val="18"/>
        <w:szCs w:val="18"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66ED8E97" wp14:editId="42841E42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2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7753C7" w14:textId="77777777" w:rsidR="00AE3E37" w:rsidRPr="005B3A56" w:rsidRDefault="00ED595C">
                          <w:pPr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5FD5D3E1" w14:textId="77777777" w:rsidR="00AE3E37" w:rsidRPr="005B3A56" w:rsidRDefault="00ED595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6ED8E97" id="Casella di testo 2" o:spid="_x0000_s1027" type="#_x0000_t202" style="position:absolute;margin-left:35pt;margin-top:48.3pt;width:515.95pt;height:40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" filled="f" stroked="f">
              <v:textbox inset="0,0,0,0">
                <w:txbxContent>
                  <w:p w14:paraId="3F7753C7" w14:textId="77777777" w:rsidR="00AE3E37" w:rsidRPr="005B3A56" w:rsidRDefault="00ED595C">
                    <w:pPr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5FD5D3E1" w14:textId="77777777" w:rsidR="00AE3E37" w:rsidRPr="005B3A56" w:rsidRDefault="00ED595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F67680"/>
    <w:multiLevelType w:val="multilevel"/>
    <w:tmpl w:val="97B47FCA"/>
    <w:lvl w:ilvl="0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/>
        <w:sz w:val="18"/>
        <w:szCs w:val="18"/>
      </w:rPr>
    </w:lvl>
    <w:lvl w:ilvl="1">
      <w:start w:val="1"/>
      <w:numFmt w:val="bullet"/>
      <w:lvlText w:val="•"/>
      <w:lvlJc w:val="left"/>
      <w:pPr>
        <w:ind w:left="877" w:hanging="284"/>
      </w:pPr>
    </w:lvl>
    <w:lvl w:ilvl="2">
      <w:start w:val="1"/>
      <w:numFmt w:val="bullet"/>
      <w:lvlText w:val="•"/>
      <w:lvlJc w:val="left"/>
      <w:pPr>
        <w:ind w:left="1374" w:hanging="284"/>
      </w:pPr>
    </w:lvl>
    <w:lvl w:ilvl="3">
      <w:start w:val="1"/>
      <w:numFmt w:val="bullet"/>
      <w:lvlText w:val="•"/>
      <w:lvlJc w:val="left"/>
      <w:pPr>
        <w:ind w:left="1871" w:hanging="284"/>
      </w:pPr>
    </w:lvl>
    <w:lvl w:ilvl="4">
      <w:start w:val="1"/>
      <w:numFmt w:val="bullet"/>
      <w:lvlText w:val="•"/>
      <w:lvlJc w:val="left"/>
      <w:pPr>
        <w:ind w:left="2369" w:hanging="284"/>
      </w:pPr>
    </w:lvl>
    <w:lvl w:ilvl="5">
      <w:start w:val="1"/>
      <w:numFmt w:val="bullet"/>
      <w:lvlText w:val="•"/>
      <w:lvlJc w:val="left"/>
      <w:pPr>
        <w:ind w:left="2866" w:hanging="283"/>
      </w:pPr>
    </w:lvl>
    <w:lvl w:ilvl="6">
      <w:start w:val="1"/>
      <w:numFmt w:val="bullet"/>
      <w:lvlText w:val="•"/>
      <w:lvlJc w:val="left"/>
      <w:pPr>
        <w:ind w:left="3363" w:hanging="283"/>
      </w:pPr>
    </w:lvl>
    <w:lvl w:ilvl="7">
      <w:start w:val="1"/>
      <w:numFmt w:val="bullet"/>
      <w:lvlText w:val="•"/>
      <w:lvlJc w:val="left"/>
      <w:pPr>
        <w:ind w:left="3860" w:hanging="284"/>
      </w:pPr>
    </w:lvl>
    <w:lvl w:ilvl="8">
      <w:start w:val="1"/>
      <w:numFmt w:val="bullet"/>
      <w:lvlText w:val="•"/>
      <w:lvlJc w:val="left"/>
      <w:pPr>
        <w:ind w:left="4358" w:hanging="283"/>
      </w:pPr>
    </w:lvl>
  </w:abstractNum>
  <w:abstractNum w:abstractNumId="1" w15:restartNumberingAfterBreak="0">
    <w:nsid w:val="66BC7E53"/>
    <w:multiLevelType w:val="hybridMultilevel"/>
    <w:tmpl w:val="EB1C18E6"/>
    <w:lvl w:ilvl="0" w:tplc="0410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6C6294"/>
    <w:multiLevelType w:val="multilevel"/>
    <w:tmpl w:val="08AE3FCE"/>
    <w:lvl w:ilvl="0">
      <w:start w:val="1"/>
      <w:numFmt w:val="decimal"/>
      <w:lvlText w:val="%1.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19D"/>
    <w:rsid w:val="00100472"/>
    <w:rsid w:val="001B219D"/>
    <w:rsid w:val="002A447D"/>
    <w:rsid w:val="002C64B2"/>
    <w:rsid w:val="0037539F"/>
    <w:rsid w:val="003B56BE"/>
    <w:rsid w:val="00466032"/>
    <w:rsid w:val="0048101A"/>
    <w:rsid w:val="004B35DE"/>
    <w:rsid w:val="004E2AEC"/>
    <w:rsid w:val="005A6178"/>
    <w:rsid w:val="00770846"/>
    <w:rsid w:val="00793E60"/>
    <w:rsid w:val="00860611"/>
    <w:rsid w:val="00A31940"/>
    <w:rsid w:val="00A37244"/>
    <w:rsid w:val="00A83D29"/>
    <w:rsid w:val="00A8593E"/>
    <w:rsid w:val="00C02805"/>
    <w:rsid w:val="00C06FD9"/>
    <w:rsid w:val="00C831DA"/>
    <w:rsid w:val="00CE7FB2"/>
    <w:rsid w:val="00D05ABC"/>
    <w:rsid w:val="00D70368"/>
    <w:rsid w:val="00DE0A58"/>
    <w:rsid w:val="00ED595C"/>
    <w:rsid w:val="00F10D26"/>
    <w:rsid w:val="00F8225A"/>
    <w:rsid w:val="00FD2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0C54C"/>
  <w15:docId w15:val="{B79D973B-CF02-40ED-A21F-682EEFAA7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wentieth Century" w:eastAsia="Twentieth Century" w:hAnsi="Twentieth Century" w:cs="Twentieth Century"/>
        <w:sz w:val="22"/>
        <w:szCs w:val="22"/>
        <w:lang w:val="en-US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spacing w:before="47" w:line="400" w:lineRule="auto"/>
      <w:ind w:left="100"/>
      <w:outlineLvl w:val="0"/>
    </w:pPr>
    <w:rPr>
      <w:rFonts w:ascii="EB Garamond" w:eastAsia="EB Garamond" w:hAnsi="EB Garamond" w:cs="EB Garamond"/>
      <w:b/>
      <w:sz w:val="36"/>
      <w:szCs w:val="36"/>
    </w:rPr>
  </w:style>
  <w:style w:type="paragraph" w:styleId="Titolo2">
    <w:name w:val="heading 2"/>
    <w:basedOn w:val="Normale"/>
    <w:next w:val="Normale"/>
    <w:uiPriority w:val="9"/>
    <w:unhideWhenUsed/>
    <w:qFormat/>
    <w:pPr>
      <w:ind w:left="100"/>
      <w:outlineLvl w:val="1"/>
    </w:pPr>
    <w:rPr>
      <w:rFonts w:ascii="EB Garamond" w:eastAsia="EB Garamond" w:hAnsi="EB Garamond" w:cs="EB Garamond"/>
      <w:sz w:val="24"/>
      <w:szCs w:val="24"/>
    </w:rPr>
  </w:style>
  <w:style w:type="paragraph" w:styleId="Titolo3">
    <w:name w:val="heading 3"/>
    <w:basedOn w:val="Normale"/>
    <w:next w:val="Normale"/>
    <w:uiPriority w:val="9"/>
    <w:unhideWhenUsed/>
    <w:qFormat/>
    <w:pPr>
      <w:ind w:left="100"/>
      <w:outlineLvl w:val="2"/>
    </w:pPr>
    <w:rPr>
      <w:rFonts w:ascii="Arial" w:eastAsia="Arial" w:hAnsi="Arial" w:cs="Arial"/>
      <w:b/>
      <w:sz w:val="20"/>
      <w:szCs w:val="20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llegamentoipertestuale">
    <w:name w:val="Hyperlink"/>
    <w:basedOn w:val="Carpredefinitoparagrafo"/>
    <w:uiPriority w:val="99"/>
    <w:unhideWhenUsed/>
    <w:rsid w:val="004B35DE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B35DE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466032"/>
    <w:pPr>
      <w:widowControl/>
      <w:ind w:left="720"/>
      <w:contextualSpacing/>
    </w:pPr>
    <w:rPr>
      <w:rFonts w:asciiTheme="minorHAnsi" w:eastAsiaTheme="minorEastAsia" w:hAnsiTheme="minorHAnsi" w:cstheme="minorBidi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ncbi.nlm.nih.gov/pubmed/?term=SUBLINGUAL+ABSORPTION+OF+VITAMIN+d3+SATIA" TargetMode="External"/><Relationship Id="rId18" Type="http://schemas.openxmlformats.org/officeDocument/2006/relationships/hyperlink" Target="https://www.ncbi.nlm.nih.gov/pubmed/?term=Lips%20P%5BAuthor%5D&amp;cauthor=true&amp;cauthor_uid=30721133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direttivo@sifnut.it" TargetMode="External"/><Relationship Id="rId7" Type="http://schemas.openxmlformats.org/officeDocument/2006/relationships/header" Target="header1.xml"/><Relationship Id="rId12" Type="http://schemas.openxmlformats.org/officeDocument/2006/relationships/hyperlink" Target="https://www.ncbi.nlm.nih.gov/pubmed/?term=Bhavsar%20MS%5BAuthor%5D&amp;cauthor=true&amp;cauthor_uid=26514332" TargetMode="External"/><Relationship Id="rId17" Type="http://schemas.openxmlformats.org/officeDocument/2006/relationships/hyperlink" Target="https://www.ncbi.nlm.nih.gov/pubmed/30898175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ncbi.nlm.nih.gov/pubmed/?term=Marwaha%20RK%5BAuthor%5D&amp;cauthor=true&amp;cauthor_uid=30898175" TargetMode="External"/><Relationship Id="rId20" Type="http://schemas.openxmlformats.org/officeDocument/2006/relationships/image" Target="media/image1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cbi.nlm.nih.gov/pubmed/?term=Mukim%20AG%5BAuthor%5D&amp;cauthor=true&amp;cauthor_uid=26514332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ncbi.nlm.nih.gov/pubmed/27849624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ncbi.nlm.nih.gov/pubmed/?term=Satia%20MC%5BAuthor%5D&amp;cauthor=true&amp;cauthor_uid=26514332" TargetMode="External"/><Relationship Id="rId19" Type="http://schemas.openxmlformats.org/officeDocument/2006/relationships/hyperlink" Target="https://www.ncbi.nlm.nih.gov/pubmed/3072113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ciencedirect.com/science/journal/17732247/59/supp/C" TargetMode="External"/><Relationship Id="rId14" Type="http://schemas.openxmlformats.org/officeDocument/2006/relationships/hyperlink" Target="https://www.ncbi.nlm.nih.gov/pubmed/?term=Marwaha%20RK%5BAuthor%5D&amp;cauthor=true&amp;cauthor_uid=27849624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894</Words>
  <Characters>5097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Fratter</dc:creator>
  <cp:lastModifiedBy>Andrea Fratter</cp:lastModifiedBy>
  <cp:revision>26</cp:revision>
  <dcterms:created xsi:type="dcterms:W3CDTF">2021-01-11T09:04:00Z</dcterms:created>
  <dcterms:modified xsi:type="dcterms:W3CDTF">2021-01-11T11:54:00Z</dcterms:modified>
</cp:coreProperties>
</file>