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C1141" w14:textId="77777777" w:rsidR="005651FB" w:rsidRPr="00493D02" w:rsidRDefault="005651FB" w:rsidP="005651FB">
      <w:pPr>
        <w:jc w:val="center"/>
        <w:rPr>
          <w:rFonts w:ascii="Times" w:hAnsi="Times"/>
          <w:color w:val="000000" w:themeColor="text1"/>
        </w:rPr>
      </w:pPr>
      <w:r w:rsidRPr="00445AD0">
        <w:rPr>
          <w:rFonts w:ascii="Times" w:hAnsi="Times"/>
          <w:b/>
          <w:color w:val="FF0000"/>
          <w:u w:val="single"/>
        </w:rPr>
        <w:t>PILLAR</w:t>
      </w:r>
      <w:r w:rsidRPr="00445AD0">
        <w:rPr>
          <w:rFonts w:ascii="Times" w:hAnsi="Times"/>
          <w:b/>
          <w:u w:val="single"/>
        </w:rPr>
        <w:t xml:space="preserve">: </w:t>
      </w:r>
      <w:r>
        <w:rPr>
          <w:rFonts w:ascii="Times" w:hAnsi="Times"/>
          <w:b/>
          <w:u w:val="single"/>
        </w:rPr>
        <w:t>“</w:t>
      </w:r>
      <w:r w:rsidRPr="00445AD0">
        <w:rPr>
          <w:rFonts w:ascii="Times" w:hAnsi="Times"/>
          <w:b/>
          <w:color w:val="FF0000"/>
        </w:rPr>
        <w:t>P</w:t>
      </w:r>
      <w:r w:rsidRPr="00445AD0">
        <w:rPr>
          <w:rFonts w:ascii="Times" w:hAnsi="Times"/>
          <w:b/>
          <w:u w:val="single"/>
        </w:rPr>
        <w:t>ersonalized, amb</w:t>
      </w:r>
      <w:r w:rsidRPr="00445AD0">
        <w:rPr>
          <w:rFonts w:ascii="Times" w:hAnsi="Times"/>
          <w:b/>
          <w:color w:val="FF0000"/>
        </w:rPr>
        <w:t>i</w:t>
      </w:r>
      <w:r w:rsidRPr="00445AD0">
        <w:rPr>
          <w:rFonts w:ascii="Times" w:hAnsi="Times"/>
          <w:b/>
          <w:u w:val="single"/>
        </w:rPr>
        <w:t>ent inte</w:t>
      </w:r>
      <w:r w:rsidRPr="00445AD0">
        <w:rPr>
          <w:rFonts w:ascii="Times" w:hAnsi="Times"/>
          <w:b/>
          <w:color w:val="FF0000"/>
        </w:rPr>
        <w:t>ll</w:t>
      </w:r>
      <w:r w:rsidRPr="00445AD0">
        <w:rPr>
          <w:rFonts w:ascii="Times" w:hAnsi="Times"/>
          <w:b/>
          <w:u w:val="single"/>
        </w:rPr>
        <w:t xml:space="preserve">igent monitoring environment for </w:t>
      </w:r>
      <w:r w:rsidRPr="00445AD0">
        <w:rPr>
          <w:rFonts w:ascii="Times" w:hAnsi="Times"/>
          <w:b/>
          <w:color w:val="FF0000"/>
          <w:u w:val="single"/>
        </w:rPr>
        <w:t>a</w:t>
      </w:r>
      <w:r w:rsidRPr="00445AD0">
        <w:rPr>
          <w:rFonts w:ascii="Times" w:hAnsi="Times"/>
          <w:b/>
          <w:u w:val="single"/>
        </w:rPr>
        <w:t>fter cance</w:t>
      </w:r>
      <w:r w:rsidRPr="00445AD0">
        <w:rPr>
          <w:rFonts w:ascii="Times" w:hAnsi="Times"/>
          <w:b/>
          <w:color w:val="FF0000"/>
        </w:rPr>
        <w:t>r</w:t>
      </w:r>
      <w:r w:rsidRPr="00445AD0">
        <w:rPr>
          <w:rFonts w:ascii="Times" w:hAnsi="Times"/>
          <w:b/>
          <w:u w:val="single"/>
        </w:rPr>
        <w:t xml:space="preserve"> patients to </w:t>
      </w:r>
      <w:r w:rsidRPr="00445AD0">
        <w:rPr>
          <w:rFonts w:ascii="Times" w:hAnsi="Times"/>
          <w:b/>
          <w:color w:val="000000" w:themeColor="text1"/>
          <w:u w:val="single"/>
        </w:rPr>
        <w:t xml:space="preserve">improve </w:t>
      </w:r>
      <w:r w:rsidRPr="00445AD0">
        <w:rPr>
          <w:rFonts w:ascii="Times" w:hAnsi="Times"/>
          <w:b/>
          <w:u w:val="single"/>
        </w:rPr>
        <w:t>the qu</w:t>
      </w:r>
      <w:r w:rsidRPr="00445AD0">
        <w:rPr>
          <w:rFonts w:ascii="Times" w:hAnsi="Times"/>
          <w:b/>
          <w:color w:val="000000" w:themeColor="text1"/>
          <w:u w:val="single"/>
        </w:rPr>
        <w:t>a</w:t>
      </w:r>
      <w:r w:rsidRPr="00445AD0">
        <w:rPr>
          <w:rFonts w:ascii="Times" w:hAnsi="Times"/>
          <w:b/>
          <w:u w:val="single"/>
        </w:rPr>
        <w:t>lity of life</w:t>
      </w:r>
      <w:r>
        <w:rPr>
          <w:rFonts w:ascii="Times" w:hAnsi="Times"/>
          <w:b/>
          <w:u w:val="single"/>
        </w:rPr>
        <w:t>”</w:t>
      </w:r>
    </w:p>
    <w:p w14:paraId="64DA70D7" w14:textId="5067CAE9" w:rsidR="005651FB" w:rsidRPr="00445AD0" w:rsidRDefault="005651FB" w:rsidP="005651FB">
      <w:pPr>
        <w:autoSpaceDE w:val="0"/>
        <w:autoSpaceDN w:val="0"/>
        <w:adjustRightInd w:val="0"/>
        <w:spacing w:after="0" w:line="240" w:lineRule="auto"/>
        <w:jc w:val="both"/>
        <w:rPr>
          <w:rFonts w:ascii="Times" w:hAnsi="Times"/>
          <w:color w:val="000000" w:themeColor="text1"/>
        </w:rPr>
      </w:pPr>
      <w:r w:rsidRPr="00445AD0">
        <w:rPr>
          <w:rFonts w:ascii="Times" w:hAnsi="Times" w:cs="AppleSystemUIFont"/>
          <w:b/>
          <w:color w:val="000000" w:themeColor="text1"/>
        </w:rPr>
        <w:t xml:space="preserve">Abstract: </w:t>
      </w:r>
      <w:r>
        <w:rPr>
          <w:rFonts w:ascii="Times" w:hAnsi="Times" w:cs="AppleSystemUIFont"/>
          <w:b/>
          <w:color w:val="000000" w:themeColor="text1"/>
        </w:rPr>
        <w:br/>
      </w:r>
      <w:bookmarkStart w:id="0" w:name="_GoBack"/>
      <w:bookmarkEnd w:id="0"/>
    </w:p>
    <w:p w14:paraId="2B27CBE9" w14:textId="77777777" w:rsidR="005651FB" w:rsidRPr="00445AD0" w:rsidRDefault="005651FB" w:rsidP="005651FB">
      <w:pPr>
        <w:jc w:val="both"/>
        <w:rPr>
          <w:rFonts w:ascii="Times" w:hAnsi="Times"/>
          <w:color w:val="000000" w:themeColor="text1"/>
        </w:rPr>
      </w:pPr>
      <w:r w:rsidRPr="00445AD0">
        <w:rPr>
          <w:rFonts w:ascii="Times" w:hAnsi="Times"/>
          <w:color w:val="000000" w:themeColor="text1"/>
        </w:rPr>
        <w:t xml:space="preserve">There is evidence in the historical cancer data that the most critical part of the cancer lifecycle is early detection and continuous monitoring during and after cancer care. As cancer is not dependent on an individual’s socio-economic assessment so the current prevention and cure mechanism is not economically affordable for every single individual. Even there are cases where wealthy people were being diagnosed with late-stage cancer, which leaves very little options and time for health care experts. An individual to national level personalized ethically acceptable data-driven </w:t>
      </w:r>
      <w:proofErr w:type="spellStart"/>
      <w:r w:rsidRPr="00445AD0">
        <w:rPr>
          <w:rFonts w:ascii="Times" w:hAnsi="Times"/>
          <w:color w:val="000000" w:themeColor="text1"/>
        </w:rPr>
        <w:t>DigitalTwin</w:t>
      </w:r>
      <w:proofErr w:type="spellEnd"/>
      <w:r w:rsidRPr="00445AD0">
        <w:rPr>
          <w:rFonts w:ascii="Times" w:hAnsi="Times"/>
          <w:color w:val="000000" w:themeColor="text1"/>
        </w:rPr>
        <w:t xml:space="preserve"> is the way to solve this problem with an affordable costing model. Using advanced big data analytics, machine learning and AI a training data set can be generating from the historical data sets and using an unsupervised learning method a digital twin can fully functional at a global level.</w:t>
      </w:r>
    </w:p>
    <w:p w14:paraId="59A2FD28" w14:textId="77777777" w:rsidR="002D24BF" w:rsidRDefault="002D24BF"/>
    <w:sectPr w:rsidR="002D24BF" w:rsidSect="0041392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1FB"/>
    <w:rsid w:val="002D24BF"/>
    <w:rsid w:val="00413921"/>
    <w:rsid w:val="005651FB"/>
    <w:rsid w:val="00A85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6A052"/>
  <w15:chartTrackingRefBased/>
  <w15:docId w15:val="{65AA406E-5905-1D4D-8946-B2B9EDDD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51FB"/>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Rashid, Md Mamunur</dc:creator>
  <cp:keywords/>
  <dc:description/>
  <cp:lastModifiedBy>Rashid, Md Mamunur</cp:lastModifiedBy>
  <cp:revision>1</cp:revision>
  <dcterms:created xsi:type="dcterms:W3CDTF">2019-02-12T11:11:00Z</dcterms:created>
  <dcterms:modified xsi:type="dcterms:W3CDTF">2019-02-12T11:12:00Z</dcterms:modified>
</cp:coreProperties>
</file>