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E02" w:rsidRPr="00057E02" w:rsidRDefault="00057E02" w:rsidP="00057E02">
      <w:pPr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057E02">
        <w:rPr>
          <w:rFonts w:ascii="Times New Roman" w:hAnsi="Times New Roman" w:cs="Times New Roman"/>
          <w:b/>
          <w:color w:val="333333"/>
          <w:sz w:val="28"/>
          <w:szCs w:val="28"/>
        </w:rPr>
        <w:t>Nutraceuticals – An Abstract</w:t>
      </w:r>
    </w:p>
    <w:p w:rsidR="00057E02" w:rsidRDefault="00057E02" w:rsidP="00057E02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D706E9" w:rsidRPr="00D706E9" w:rsidRDefault="00D706E9" w:rsidP="00F52732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706E9">
        <w:rPr>
          <w:rFonts w:ascii="Times New Roman" w:hAnsi="Times New Roman" w:cs="Times New Roman"/>
          <w:color w:val="333333"/>
          <w:sz w:val="28"/>
          <w:szCs w:val="28"/>
        </w:rPr>
        <w:t>Nutraceuticals is a broad umbrella term that is used to describe any product</w:t>
      </w:r>
    </w:p>
    <w:p w:rsidR="00D706E9" w:rsidRPr="00D706E9" w:rsidRDefault="00D706E9" w:rsidP="00F527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proofErr w:type="gramStart"/>
      <w:r w:rsidRPr="00D706E9">
        <w:rPr>
          <w:rFonts w:ascii="Times New Roman" w:hAnsi="Times New Roman" w:cs="Times New Roman"/>
          <w:color w:val="333333"/>
          <w:sz w:val="28"/>
          <w:szCs w:val="28"/>
        </w:rPr>
        <w:t>derived</w:t>
      </w:r>
      <w:proofErr w:type="gramEnd"/>
      <w:r w:rsidRPr="00D706E9">
        <w:rPr>
          <w:rFonts w:ascii="Times New Roman" w:hAnsi="Times New Roman" w:cs="Times New Roman"/>
          <w:color w:val="333333"/>
          <w:sz w:val="28"/>
          <w:szCs w:val="28"/>
        </w:rPr>
        <w:t xml:space="preserve"> from food sources with extra health benefits in addition to the basic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nutritional value found in foods. They can be considered nonspecific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biological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therapies used to promote general wellbeing,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control symptoms and prevent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malignant processes.</w:t>
      </w:r>
    </w:p>
    <w:p w:rsidR="00D706E9" w:rsidRDefault="00D706E9" w:rsidP="00F52732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D706E9" w:rsidRPr="00D706E9" w:rsidRDefault="00D706E9" w:rsidP="00F52732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706E9">
        <w:rPr>
          <w:rFonts w:ascii="Times New Roman" w:hAnsi="Times New Roman" w:cs="Times New Roman"/>
          <w:color w:val="333333"/>
          <w:sz w:val="28"/>
          <w:szCs w:val="28"/>
        </w:rPr>
        <w:t xml:space="preserve">The term </w:t>
      </w:r>
      <w:r w:rsidRPr="00057E02">
        <w:rPr>
          <w:rFonts w:ascii="Times New Roman" w:hAnsi="Times New Roman" w:cs="Times New Roman"/>
          <w:b/>
          <w:color w:val="333333"/>
          <w:sz w:val="28"/>
          <w:szCs w:val="28"/>
        </w:rPr>
        <w:t>“nutraceutical”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 xml:space="preserve"> combines two words – “nutrient” (a nourishing food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component) and “pharmaceutical” (a medical drug). The name was coined in</w:t>
      </w:r>
    </w:p>
    <w:p w:rsidR="00D706E9" w:rsidRPr="00D706E9" w:rsidRDefault="00D706E9" w:rsidP="00F527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706E9">
        <w:rPr>
          <w:rFonts w:ascii="Times New Roman" w:hAnsi="Times New Roman" w:cs="Times New Roman"/>
          <w:color w:val="333333"/>
          <w:sz w:val="28"/>
          <w:szCs w:val="28"/>
        </w:rPr>
        <w:t xml:space="preserve">1989 by Stephen </w:t>
      </w:r>
      <w:proofErr w:type="spellStart"/>
      <w:r w:rsidRPr="00D706E9">
        <w:rPr>
          <w:rFonts w:ascii="Times New Roman" w:hAnsi="Times New Roman" w:cs="Times New Roman"/>
          <w:color w:val="333333"/>
          <w:sz w:val="28"/>
          <w:szCs w:val="28"/>
        </w:rPr>
        <w:t>DeFelice</w:t>
      </w:r>
      <w:proofErr w:type="spellEnd"/>
      <w:r w:rsidRPr="00D706E9">
        <w:rPr>
          <w:rFonts w:ascii="Times New Roman" w:hAnsi="Times New Roman" w:cs="Times New Roman"/>
          <w:color w:val="333333"/>
          <w:sz w:val="28"/>
          <w:szCs w:val="28"/>
        </w:rPr>
        <w:t>, founder and chairman of the Foundation for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Innovation in Medicine, an American organization located in Cranford, New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Jersey.</w:t>
      </w:r>
    </w:p>
    <w:p w:rsidR="00D706E9" w:rsidRDefault="00D706E9" w:rsidP="00F527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D706E9" w:rsidRPr="00D706E9" w:rsidRDefault="00D706E9" w:rsidP="00F52732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706E9">
        <w:rPr>
          <w:rFonts w:ascii="Times New Roman" w:hAnsi="Times New Roman" w:cs="Times New Roman"/>
          <w:color w:val="333333"/>
          <w:sz w:val="28"/>
          <w:szCs w:val="28"/>
        </w:rPr>
        <w:t>The philosophy behind nutraceuticals is to focus on prevention, according to</w:t>
      </w:r>
    </w:p>
    <w:p w:rsidR="00D706E9" w:rsidRPr="00D706E9" w:rsidRDefault="00D706E9" w:rsidP="00F527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proofErr w:type="gramStart"/>
      <w:r w:rsidRPr="00D706E9">
        <w:rPr>
          <w:rFonts w:ascii="Times New Roman" w:hAnsi="Times New Roman" w:cs="Times New Roman"/>
          <w:color w:val="333333"/>
          <w:sz w:val="28"/>
          <w:szCs w:val="28"/>
        </w:rPr>
        <w:t>the</w:t>
      </w:r>
      <w:proofErr w:type="gramEnd"/>
      <w:r w:rsidRPr="00D706E9">
        <w:rPr>
          <w:rFonts w:ascii="Times New Roman" w:hAnsi="Times New Roman" w:cs="Times New Roman"/>
          <w:color w:val="333333"/>
          <w:sz w:val="28"/>
          <w:szCs w:val="28"/>
        </w:rPr>
        <w:t xml:space="preserve"> saying by a Greek physician Hippocrates (known as the father of medicine)</w:t>
      </w:r>
    </w:p>
    <w:p w:rsidR="00D706E9" w:rsidRPr="00D706E9" w:rsidRDefault="00D706E9" w:rsidP="00F527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proofErr w:type="gramStart"/>
      <w:r w:rsidRPr="00D706E9">
        <w:rPr>
          <w:rFonts w:ascii="Times New Roman" w:hAnsi="Times New Roman" w:cs="Times New Roman"/>
          <w:color w:val="333333"/>
          <w:sz w:val="28"/>
          <w:szCs w:val="28"/>
        </w:rPr>
        <w:t>who</w:t>
      </w:r>
      <w:proofErr w:type="gramEnd"/>
      <w:r w:rsidRPr="00D706E9">
        <w:rPr>
          <w:rFonts w:ascii="Times New Roman" w:hAnsi="Times New Roman" w:cs="Times New Roman"/>
          <w:color w:val="333333"/>
          <w:sz w:val="28"/>
          <w:szCs w:val="28"/>
        </w:rPr>
        <w:t xml:space="preserve"> said “let food be your medicine”. Their role in human nutrition is one of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the most important areas of investigation, with wide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ra</w:t>
      </w:r>
      <w:r>
        <w:rPr>
          <w:rFonts w:ascii="Times New Roman" w:hAnsi="Times New Roman" w:cs="Times New Roman"/>
          <w:color w:val="333333"/>
          <w:sz w:val="28"/>
          <w:szCs w:val="28"/>
        </w:rPr>
        <w:t>n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ging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implications for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consumers, healthcare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providers, regulators, food producers and distributors.</w:t>
      </w:r>
    </w:p>
    <w:p w:rsidR="00D706E9" w:rsidRDefault="00D706E9" w:rsidP="00F527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:rsidR="00D706E9" w:rsidRPr="00D706E9" w:rsidRDefault="00D706E9" w:rsidP="00F527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D706E9">
        <w:rPr>
          <w:rFonts w:ascii="Times New Roman" w:hAnsi="Times New Roman" w:cs="Times New Roman"/>
          <w:b/>
          <w:color w:val="333333"/>
          <w:sz w:val="28"/>
          <w:szCs w:val="28"/>
        </w:rPr>
        <w:t>Categories of nutraceuticals</w:t>
      </w:r>
    </w:p>
    <w:p w:rsidR="00D706E9" w:rsidRDefault="00D706E9" w:rsidP="00F527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D706E9" w:rsidRPr="00D706E9" w:rsidRDefault="00D706E9" w:rsidP="00F52732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706E9">
        <w:rPr>
          <w:rFonts w:ascii="Times New Roman" w:hAnsi="Times New Roman" w:cs="Times New Roman"/>
          <w:color w:val="333333"/>
          <w:sz w:val="28"/>
          <w:szCs w:val="28"/>
        </w:rPr>
        <w:t>The definition of nutraceuticals and related products generally depends on the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source. They can be classified on the basis of their natural sources,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pharmacological conditions, as well as chemical constitution of the products.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Most often they are grouped in the following categories: dietary supplements,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 xml:space="preserve">functional food, medicinal food, </w:t>
      </w:r>
      <w:proofErr w:type="spellStart"/>
      <w:proofErr w:type="gramStart"/>
      <w:r w:rsidRPr="00D706E9">
        <w:rPr>
          <w:rFonts w:ascii="Times New Roman" w:hAnsi="Times New Roman" w:cs="Times New Roman"/>
          <w:color w:val="333333"/>
          <w:sz w:val="28"/>
          <w:szCs w:val="28"/>
        </w:rPr>
        <w:t>farmaceuticals</w:t>
      </w:r>
      <w:proofErr w:type="spellEnd"/>
      <w:proofErr w:type="gramEnd"/>
      <w:r w:rsidRPr="00D706E9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D706E9" w:rsidRDefault="00D706E9" w:rsidP="00F527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D706E9" w:rsidRDefault="00D706E9" w:rsidP="00F52732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706E9">
        <w:rPr>
          <w:rFonts w:ascii="Times New Roman" w:hAnsi="Times New Roman" w:cs="Times New Roman"/>
          <w:color w:val="333333"/>
          <w:sz w:val="28"/>
          <w:szCs w:val="28"/>
        </w:rPr>
        <w:t xml:space="preserve">A </w:t>
      </w:r>
      <w:r w:rsidRPr="00057E02">
        <w:rPr>
          <w:rFonts w:ascii="Times New Roman" w:hAnsi="Times New Roman" w:cs="Times New Roman"/>
          <w:b/>
          <w:color w:val="333333"/>
          <w:sz w:val="28"/>
          <w:szCs w:val="28"/>
        </w:rPr>
        <w:t>dietary supplement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 xml:space="preserve"> represents a product that contains nutrients derived from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food products, and is often concentrated in liquid, capsule, powder or pill form.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Although dietary supplements are regulated by the FDA as foods, their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regulation differs from drugs and other foods.</w:t>
      </w:r>
      <w:r w:rsidR="00057E02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According to their generally accepted definition, functional food is a category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which includes whole foods and fortified, enriched or enhanced dietary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components that may reduce the risk of chronic disease and provide a health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benefit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beyond the traditional nutrients it contains.</w:t>
      </w:r>
    </w:p>
    <w:p w:rsidR="00057E02" w:rsidRPr="00D706E9" w:rsidRDefault="00057E02" w:rsidP="00F52732">
      <w:pPr>
        <w:ind w:firstLine="72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D706E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lastRenderedPageBreak/>
        <w:t>A </w:t>
      </w:r>
      <w:r w:rsidRPr="00D706E9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dietary supplement</w:t>
      </w:r>
      <w:r w:rsidRPr="00D706E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is a product intended for ingestion that contains a "</w:t>
      </w:r>
      <w:proofErr w:type="spellStart"/>
      <w:r w:rsidRPr="00D706E9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dietary</w:t>
      </w:r>
      <w:r w:rsidRPr="00D706E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ingredient</w:t>
      </w:r>
      <w:proofErr w:type="spellEnd"/>
      <w:r w:rsidRPr="00D706E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" intended to add further </w:t>
      </w:r>
      <w:r w:rsidRPr="00D706E9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nutritional</w:t>
      </w:r>
      <w:r w:rsidRPr="00D706E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value to (</w:t>
      </w:r>
      <w:r w:rsidRPr="00D706E9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supplement</w:t>
      </w:r>
      <w:r w:rsidRPr="00D706E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) the </w:t>
      </w:r>
      <w:r w:rsidRPr="00D706E9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diet</w:t>
      </w:r>
      <w:r w:rsidRPr="00D706E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 A "</w:t>
      </w:r>
      <w:r w:rsidRPr="00D706E9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dietary</w:t>
      </w:r>
      <w:r w:rsidRPr="00D706E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ingredient" may be one, or any combination, of the f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ollowing substances: a vitamin or </w:t>
      </w:r>
      <w:r w:rsidRPr="00D706E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a mineral.</w:t>
      </w:r>
    </w:p>
    <w:p w:rsidR="00057E02" w:rsidRDefault="00057E02" w:rsidP="00F52732">
      <w:pPr>
        <w:ind w:firstLine="72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D706E9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Vitamin</w:t>
      </w:r>
      <w:r w:rsidRPr="00D706E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products are </w:t>
      </w:r>
      <w:r w:rsidRPr="00D706E9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regulated</w:t>
      </w:r>
      <w:r w:rsidRPr="00D706E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by </w:t>
      </w:r>
      <w:r w:rsidRPr="00D706E9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FDA</w:t>
      </w:r>
      <w:r w:rsidRPr="00D706E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as "Dietary Supplements." The law defines dietary supplements, in part, as products taken by mouth that contain a "dietary ingredient" intended to supplement the diet. ... Dietary supplements can also be extracts or concentrates, and may be found in many forms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. </w:t>
      </w:r>
    </w:p>
    <w:p w:rsidR="00D706E9" w:rsidRPr="00D706E9" w:rsidRDefault="00057E02" w:rsidP="00F52732">
      <w:pPr>
        <w:ind w:firstLine="720"/>
        <w:jc w:val="both"/>
        <w:rPr>
          <w:rFonts w:ascii="Times New Roman" w:hAnsi="Times New Roman" w:cs="Times New Roman"/>
          <w:b/>
          <w:bCs/>
          <w:color w:val="FFFFFF"/>
          <w:sz w:val="28"/>
          <w:szCs w:val="28"/>
        </w:rPr>
      </w:pPr>
      <w:r w:rsidRPr="00057E0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Why </w:t>
      </w:r>
      <w:r w:rsidRPr="00057E02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doesn't</w:t>
      </w:r>
      <w:r w:rsidRPr="00057E0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the Food and Drug Administration (</w:t>
      </w:r>
      <w:r w:rsidRPr="00057E02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FDA</w:t>
      </w:r>
      <w:r w:rsidRPr="00057E0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) regulate the safety and sale of nutritional </w:t>
      </w:r>
      <w:r w:rsidRPr="00057E02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supplements</w:t>
      </w:r>
      <w:r w:rsidRPr="00057E0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? Because they're classified as food products, not medicines, so they aren't regulated by the strict standards governing the sale of prescription and over-the-counter drugs.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057E0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The U.S. </w:t>
      </w:r>
      <w:r w:rsidRPr="00057E02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Food</w:t>
      </w:r>
      <w:r w:rsidRPr="00057E0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and Drug Administration (FDA) does not regulate </w:t>
      </w:r>
      <w:r w:rsidRPr="00057E02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dietary supplements</w:t>
      </w:r>
      <w:r w:rsidRPr="00057E0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in the same way that it regulates </w:t>
      </w:r>
      <w:r w:rsidRPr="00057E02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medicine</w:t>
      </w:r>
      <w:r w:rsidRPr="00057E0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 A </w:t>
      </w:r>
      <w:r w:rsidRPr="00057E02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dietary supplement</w:t>
      </w:r>
      <w:r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 </w:t>
      </w:r>
      <w:r w:rsidRPr="00057E0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can be sold without research on how well it </w:t>
      </w:r>
      <w:proofErr w:type="spellStart"/>
      <w:r w:rsidRPr="00057E0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works.</w:t>
      </w:r>
      <w:r w:rsidR="00D706E9" w:rsidRPr="00D706E9">
        <w:rPr>
          <w:rFonts w:ascii="Times New Roman" w:hAnsi="Times New Roman" w:cs="Times New Roman"/>
          <w:b/>
          <w:bCs/>
          <w:color w:val="FFFFFF"/>
          <w:sz w:val="28"/>
          <w:szCs w:val="28"/>
        </w:rPr>
        <w:t>P</w:t>
      </w:r>
      <w:proofErr w:type="spellEnd"/>
    </w:p>
    <w:p w:rsidR="00D706E9" w:rsidRPr="00D706E9" w:rsidRDefault="00D706E9" w:rsidP="00F527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706E9">
        <w:rPr>
          <w:rFonts w:ascii="Times New Roman" w:hAnsi="Times New Roman" w:cs="Times New Roman"/>
          <w:b/>
          <w:bCs/>
          <w:color w:val="FFFFFF"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color w:val="FFFFFF"/>
          <w:sz w:val="28"/>
          <w:szCs w:val="28"/>
        </w:rPr>
        <w:tab/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Medical food is formulated to be consumed or administered internally, under</w:t>
      </w:r>
    </w:p>
    <w:p w:rsidR="00D706E9" w:rsidRDefault="00D706E9" w:rsidP="00F527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proofErr w:type="gramStart"/>
      <w:r w:rsidRPr="00D706E9">
        <w:rPr>
          <w:rFonts w:ascii="Times New Roman" w:hAnsi="Times New Roman" w:cs="Times New Roman"/>
          <w:color w:val="333333"/>
          <w:sz w:val="28"/>
          <w:szCs w:val="28"/>
        </w:rPr>
        <w:t>the</w:t>
      </w:r>
      <w:proofErr w:type="gramEnd"/>
      <w:r w:rsidRPr="00D706E9">
        <w:rPr>
          <w:rFonts w:ascii="Times New Roman" w:hAnsi="Times New Roman" w:cs="Times New Roman"/>
          <w:color w:val="333333"/>
          <w:sz w:val="28"/>
          <w:szCs w:val="28"/>
        </w:rPr>
        <w:t xml:space="preserve"> supervision of a qualified physician. Its intended use is a specific dietary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management of a disease or condition for which distinctive nutritional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requirements are established by the medical evaluation (on the basis of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recognized scientific principle).</w:t>
      </w:r>
      <w:bookmarkStart w:id="0" w:name="_GoBack"/>
      <w:bookmarkEnd w:id="0"/>
    </w:p>
    <w:p w:rsidR="00057E02" w:rsidRDefault="00057E02" w:rsidP="00F527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D706E9" w:rsidRPr="00D706E9" w:rsidRDefault="00D706E9" w:rsidP="00F52732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proofErr w:type="spellStart"/>
      <w:r w:rsidRPr="00D706E9">
        <w:rPr>
          <w:rFonts w:ascii="Times New Roman" w:hAnsi="Times New Roman" w:cs="Times New Roman"/>
          <w:color w:val="333333"/>
          <w:sz w:val="28"/>
          <w:szCs w:val="28"/>
        </w:rPr>
        <w:t>Farmaceuticals</w:t>
      </w:r>
      <w:proofErr w:type="spellEnd"/>
      <w:r w:rsidRPr="00D706E9">
        <w:rPr>
          <w:rFonts w:ascii="Times New Roman" w:hAnsi="Times New Roman" w:cs="Times New Roman"/>
          <w:color w:val="333333"/>
          <w:sz w:val="28"/>
          <w:szCs w:val="28"/>
        </w:rPr>
        <w:t xml:space="preserve"> are medically valuable components produced from modified</w:t>
      </w:r>
    </w:p>
    <w:p w:rsidR="00D706E9" w:rsidRPr="00D706E9" w:rsidRDefault="00D706E9" w:rsidP="00F527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proofErr w:type="gramStart"/>
      <w:r w:rsidRPr="00D706E9">
        <w:rPr>
          <w:rFonts w:ascii="Times New Roman" w:hAnsi="Times New Roman" w:cs="Times New Roman"/>
          <w:color w:val="333333"/>
          <w:sz w:val="28"/>
          <w:szCs w:val="28"/>
        </w:rPr>
        <w:t>agricultural</w:t>
      </w:r>
      <w:proofErr w:type="gramEnd"/>
      <w:r w:rsidRPr="00D706E9">
        <w:rPr>
          <w:rFonts w:ascii="Times New Roman" w:hAnsi="Times New Roman" w:cs="Times New Roman"/>
          <w:color w:val="333333"/>
          <w:sz w:val="28"/>
          <w:szCs w:val="28"/>
        </w:rPr>
        <w:t xml:space="preserve"> crops or animals. The term is a combining of the words “farm” and</w:t>
      </w:r>
    </w:p>
    <w:p w:rsidR="00D706E9" w:rsidRPr="00D706E9" w:rsidRDefault="00D706E9" w:rsidP="00F527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706E9">
        <w:rPr>
          <w:rFonts w:ascii="Times New Roman" w:hAnsi="Times New Roman" w:cs="Times New Roman"/>
          <w:color w:val="333333"/>
          <w:sz w:val="28"/>
          <w:szCs w:val="28"/>
        </w:rPr>
        <w:t>“</w:t>
      </w:r>
      <w:proofErr w:type="gramStart"/>
      <w:r w:rsidRPr="00D706E9">
        <w:rPr>
          <w:rFonts w:ascii="Times New Roman" w:hAnsi="Times New Roman" w:cs="Times New Roman"/>
          <w:color w:val="333333"/>
          <w:sz w:val="28"/>
          <w:szCs w:val="28"/>
        </w:rPr>
        <w:t>pharmaceuticals</w:t>
      </w:r>
      <w:proofErr w:type="gramEnd"/>
      <w:r w:rsidRPr="00D706E9">
        <w:rPr>
          <w:rFonts w:ascii="Times New Roman" w:hAnsi="Times New Roman" w:cs="Times New Roman"/>
          <w:color w:val="333333"/>
          <w:sz w:val="28"/>
          <w:szCs w:val="28"/>
        </w:rPr>
        <w:t>”. Proponents of this concept are convinced that using crops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(and possibly even animals) as pharmaceutical factories is much more cost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effective than conventional methods, with higher revenue for agricultural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producers.</w:t>
      </w:r>
    </w:p>
    <w:p w:rsidR="00D706E9" w:rsidRDefault="00D706E9" w:rsidP="00F527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D706E9" w:rsidRPr="00D706E9" w:rsidRDefault="00D706E9" w:rsidP="00F527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D706E9">
        <w:rPr>
          <w:rFonts w:ascii="Times New Roman" w:hAnsi="Times New Roman" w:cs="Times New Roman"/>
          <w:b/>
          <w:color w:val="333333"/>
          <w:sz w:val="28"/>
          <w:szCs w:val="28"/>
        </w:rPr>
        <w:t>Potential health benefits</w:t>
      </w:r>
    </w:p>
    <w:p w:rsidR="00D706E9" w:rsidRDefault="00D706E9" w:rsidP="00F527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D706E9" w:rsidRPr="00D706E9" w:rsidRDefault="00D706E9" w:rsidP="00F52732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706E9">
        <w:rPr>
          <w:rFonts w:ascii="Times New Roman" w:hAnsi="Times New Roman" w:cs="Times New Roman"/>
          <w:color w:val="333333"/>
          <w:sz w:val="28"/>
          <w:szCs w:val="28"/>
        </w:rPr>
        <w:t>Over the years nutraceuticals have attracted considerable interest due to their</w:t>
      </w:r>
    </w:p>
    <w:p w:rsidR="00D706E9" w:rsidRPr="00D706E9" w:rsidRDefault="00D706E9" w:rsidP="00F527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proofErr w:type="gramStart"/>
      <w:r w:rsidRPr="00D706E9">
        <w:rPr>
          <w:rFonts w:ascii="Times New Roman" w:hAnsi="Times New Roman" w:cs="Times New Roman"/>
          <w:color w:val="333333"/>
          <w:sz w:val="28"/>
          <w:szCs w:val="28"/>
        </w:rPr>
        <w:t>potential</w:t>
      </w:r>
      <w:proofErr w:type="gramEnd"/>
      <w:r w:rsidRPr="00D706E9">
        <w:rPr>
          <w:rFonts w:ascii="Times New Roman" w:hAnsi="Times New Roman" w:cs="Times New Roman"/>
          <w:color w:val="333333"/>
          <w:sz w:val="28"/>
          <w:szCs w:val="28"/>
        </w:rPr>
        <w:t xml:space="preserve"> nutritional, safety and therapeutic effects. They could have a role in a</w:t>
      </w:r>
    </w:p>
    <w:p w:rsidR="00D706E9" w:rsidRPr="00D706E9" w:rsidRDefault="00D706E9" w:rsidP="00F527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proofErr w:type="gramStart"/>
      <w:r w:rsidRPr="00D706E9">
        <w:rPr>
          <w:rFonts w:ascii="Times New Roman" w:hAnsi="Times New Roman" w:cs="Times New Roman"/>
          <w:color w:val="333333"/>
          <w:sz w:val="28"/>
          <w:szCs w:val="28"/>
        </w:rPr>
        <w:t>plethora</w:t>
      </w:r>
      <w:proofErr w:type="gramEnd"/>
      <w:r w:rsidRPr="00D706E9">
        <w:rPr>
          <w:rFonts w:ascii="Times New Roman" w:hAnsi="Times New Roman" w:cs="Times New Roman"/>
          <w:color w:val="333333"/>
          <w:sz w:val="28"/>
          <w:szCs w:val="28"/>
        </w:rPr>
        <w:t xml:space="preserve"> of biological processes, including antioxidant defenses, cell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proliferation, gene expression, and safeguarding of mitochondrial integrity.</w:t>
      </w:r>
    </w:p>
    <w:p w:rsidR="00D706E9" w:rsidRDefault="00D706E9" w:rsidP="00F527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D706E9" w:rsidRPr="00D706E9" w:rsidRDefault="00D706E9" w:rsidP="00F52732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706E9">
        <w:rPr>
          <w:rFonts w:ascii="Times New Roman" w:hAnsi="Times New Roman" w:cs="Times New Roman"/>
          <w:color w:val="333333"/>
          <w:sz w:val="28"/>
          <w:szCs w:val="28"/>
        </w:rPr>
        <w:t>Therefore nutraceuticals may be used to improve health, prevent chronic</w:t>
      </w:r>
    </w:p>
    <w:p w:rsidR="00D706E9" w:rsidRPr="00D706E9" w:rsidRDefault="00D706E9" w:rsidP="00F527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proofErr w:type="gramStart"/>
      <w:r w:rsidRPr="00D706E9">
        <w:rPr>
          <w:rFonts w:ascii="Times New Roman" w:hAnsi="Times New Roman" w:cs="Times New Roman"/>
          <w:color w:val="333333"/>
          <w:sz w:val="28"/>
          <w:szCs w:val="28"/>
        </w:rPr>
        <w:t>diseases</w:t>
      </w:r>
      <w:proofErr w:type="gramEnd"/>
      <w:r w:rsidRPr="00D706E9">
        <w:rPr>
          <w:rFonts w:ascii="Times New Roman" w:hAnsi="Times New Roman" w:cs="Times New Roman"/>
          <w:color w:val="333333"/>
          <w:sz w:val="28"/>
          <w:szCs w:val="28"/>
        </w:rPr>
        <w:t>, postpone the aging process (and in turn increase life expectancy), or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just support functions and integrity of the body. They are considered to be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healthy sources for prevention of life threatening diseases such as diabetes,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renal and gastrointestinal disorders, as well as different infections.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A wide range of nutraceuticals have been shown to impose crucial roles in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immune status and susceptibility to certain disease states. They also exhibit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diseases modifying indications related to oxidative stress including allergy,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Alzheimer's disease, cardiovascular diseases, cancer, eye conditions,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D706E9">
        <w:rPr>
          <w:rFonts w:ascii="Times New Roman" w:hAnsi="Times New Roman" w:cs="Times New Roman"/>
          <w:color w:val="333333"/>
          <w:sz w:val="28"/>
          <w:szCs w:val="28"/>
        </w:rPr>
        <w:t>Parkinson's diseases and obesity.</w:t>
      </w:r>
    </w:p>
    <w:p w:rsidR="00D706E9" w:rsidRDefault="00D706E9" w:rsidP="00F527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:rsidR="00D706E9" w:rsidRPr="00D706E9" w:rsidRDefault="00D706E9" w:rsidP="00F527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D706E9">
        <w:rPr>
          <w:rFonts w:ascii="Times New Roman" w:hAnsi="Times New Roman" w:cs="Times New Roman"/>
          <w:b/>
          <w:color w:val="333333"/>
          <w:sz w:val="28"/>
          <w:szCs w:val="28"/>
        </w:rPr>
        <w:t>Sources</w:t>
      </w:r>
    </w:p>
    <w:p w:rsidR="00D706E9" w:rsidRPr="00D706E9" w:rsidRDefault="00D706E9" w:rsidP="00F527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5F5F5F"/>
          <w:sz w:val="28"/>
          <w:szCs w:val="28"/>
        </w:rPr>
      </w:pPr>
      <w:r w:rsidRPr="00D706E9">
        <w:rPr>
          <w:rFonts w:ascii="Times New Roman" w:hAnsi="Times New Roman" w:cs="Times New Roman"/>
          <w:color w:val="333333"/>
          <w:sz w:val="28"/>
          <w:szCs w:val="28"/>
        </w:rPr>
        <w:t xml:space="preserve">1. </w:t>
      </w:r>
      <w:r w:rsidRPr="00D706E9">
        <w:rPr>
          <w:rFonts w:ascii="Times New Roman" w:hAnsi="Times New Roman" w:cs="Times New Roman"/>
          <w:color w:val="5F5F5F"/>
          <w:sz w:val="28"/>
          <w:szCs w:val="28"/>
        </w:rPr>
        <w:t>ods.od.nih.gov/factsheets/</w:t>
      </w:r>
      <w:proofErr w:type="spellStart"/>
      <w:r w:rsidRPr="00D706E9">
        <w:rPr>
          <w:rFonts w:ascii="Times New Roman" w:hAnsi="Times New Roman" w:cs="Times New Roman"/>
          <w:color w:val="5F5F5F"/>
          <w:sz w:val="28"/>
          <w:szCs w:val="28"/>
        </w:rPr>
        <w:t>DietarySupplementsHealthProfessional</w:t>
      </w:r>
      <w:proofErr w:type="spellEnd"/>
      <w:r w:rsidRPr="00D706E9">
        <w:rPr>
          <w:rFonts w:ascii="Times New Roman" w:hAnsi="Times New Roman" w:cs="Times New Roman"/>
          <w:color w:val="5F5F5F"/>
          <w:sz w:val="28"/>
          <w:szCs w:val="28"/>
        </w:rPr>
        <w:t>/</w:t>
      </w:r>
    </w:p>
    <w:p w:rsidR="00D706E9" w:rsidRPr="00D706E9" w:rsidRDefault="00D706E9" w:rsidP="00F527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5F5F5F"/>
          <w:sz w:val="28"/>
          <w:szCs w:val="28"/>
        </w:rPr>
      </w:pPr>
      <w:r w:rsidRPr="00D706E9">
        <w:rPr>
          <w:rFonts w:ascii="Times New Roman" w:hAnsi="Times New Roman" w:cs="Times New Roman"/>
          <w:color w:val="333333"/>
          <w:sz w:val="28"/>
          <w:szCs w:val="28"/>
        </w:rPr>
        <w:t xml:space="preserve">2. </w:t>
      </w:r>
      <w:r w:rsidRPr="00D706E9">
        <w:rPr>
          <w:rFonts w:ascii="Times New Roman" w:hAnsi="Times New Roman" w:cs="Times New Roman"/>
          <w:color w:val="5F5F5F"/>
          <w:sz w:val="28"/>
          <w:szCs w:val="28"/>
        </w:rPr>
        <w:t>www.mayoclinic.org/.../faq20057816</w:t>
      </w:r>
    </w:p>
    <w:p w:rsidR="00D706E9" w:rsidRDefault="00D706E9" w:rsidP="00F527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5F5F5F"/>
          <w:sz w:val="28"/>
          <w:szCs w:val="28"/>
        </w:rPr>
      </w:pPr>
      <w:r w:rsidRPr="00D706E9">
        <w:rPr>
          <w:rFonts w:ascii="Times New Roman" w:hAnsi="Times New Roman" w:cs="Times New Roman"/>
          <w:color w:val="333333"/>
          <w:sz w:val="28"/>
          <w:szCs w:val="28"/>
        </w:rPr>
        <w:t xml:space="preserve">3. </w:t>
      </w:r>
      <w:hyperlink r:id="rId4" w:history="1">
        <w:r w:rsidRPr="00DB69E3">
          <w:rPr>
            <w:rStyle w:val="Hyperlink"/>
            <w:rFonts w:ascii="Times New Roman" w:hAnsi="Times New Roman" w:cs="Times New Roman"/>
            <w:sz w:val="28"/>
            <w:szCs w:val="28"/>
          </w:rPr>
          <w:t>http://www.ncbi.nlm.nih.gov/pmc/articles/PMC3645360/</w:t>
        </w:r>
      </w:hyperlink>
    </w:p>
    <w:p w:rsidR="00D706E9" w:rsidRPr="00D706E9" w:rsidRDefault="00D706E9" w:rsidP="00F527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5F5F5F"/>
          <w:sz w:val="28"/>
          <w:szCs w:val="28"/>
        </w:rPr>
      </w:pPr>
      <w:r w:rsidRPr="00D706E9">
        <w:rPr>
          <w:rFonts w:ascii="Times New Roman" w:hAnsi="Times New Roman" w:cs="Times New Roman"/>
          <w:color w:val="333333"/>
          <w:sz w:val="28"/>
          <w:szCs w:val="28"/>
        </w:rPr>
        <w:t xml:space="preserve">4. </w:t>
      </w:r>
      <w:r w:rsidRPr="00D706E9">
        <w:rPr>
          <w:rFonts w:ascii="Times New Roman" w:hAnsi="Times New Roman" w:cs="Times New Roman"/>
          <w:color w:val="5F5F5F"/>
          <w:sz w:val="28"/>
          <w:szCs w:val="28"/>
        </w:rPr>
        <w:t>http://www.ncbi.nlm.nih.gov/pmc/articles/PMC4336979/</w:t>
      </w:r>
    </w:p>
    <w:p w:rsidR="00D706E9" w:rsidRPr="00D706E9" w:rsidRDefault="00D706E9" w:rsidP="00F527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5F5F5F"/>
          <w:sz w:val="28"/>
          <w:szCs w:val="28"/>
        </w:rPr>
      </w:pPr>
      <w:r w:rsidRPr="00D706E9">
        <w:rPr>
          <w:rFonts w:ascii="Times New Roman" w:hAnsi="Times New Roman" w:cs="Times New Roman"/>
          <w:color w:val="333333"/>
          <w:sz w:val="28"/>
          <w:szCs w:val="28"/>
        </w:rPr>
        <w:t xml:space="preserve">5. </w:t>
      </w:r>
      <w:r w:rsidRPr="00D706E9">
        <w:rPr>
          <w:rFonts w:ascii="Times New Roman" w:hAnsi="Times New Roman" w:cs="Times New Roman"/>
          <w:color w:val="5F5F5F"/>
          <w:sz w:val="28"/>
          <w:szCs w:val="28"/>
        </w:rPr>
        <w:t>http://www.ijppsjournal.com/Vol2Issue3/599.pdf</w:t>
      </w:r>
    </w:p>
    <w:p w:rsidR="00D706E9" w:rsidRPr="00D706E9" w:rsidRDefault="00D706E9" w:rsidP="00F527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5F5F5F"/>
          <w:sz w:val="28"/>
          <w:szCs w:val="28"/>
        </w:rPr>
      </w:pPr>
      <w:r w:rsidRPr="00D706E9">
        <w:rPr>
          <w:rFonts w:ascii="Times New Roman" w:hAnsi="Times New Roman" w:cs="Times New Roman"/>
          <w:color w:val="333333"/>
          <w:sz w:val="28"/>
          <w:szCs w:val="28"/>
        </w:rPr>
        <w:t xml:space="preserve">6. </w:t>
      </w:r>
      <w:r w:rsidRPr="00D706E9">
        <w:rPr>
          <w:rFonts w:ascii="Times New Roman" w:hAnsi="Times New Roman" w:cs="Times New Roman"/>
          <w:color w:val="5F5F5F"/>
          <w:sz w:val="28"/>
          <w:szCs w:val="28"/>
        </w:rPr>
        <w:t>http://www.thepharmajournal.com/vol1Issue11/Issue_jan_2013/4.1.pdf</w:t>
      </w:r>
    </w:p>
    <w:p w:rsidR="00E01D46" w:rsidRDefault="00D706E9" w:rsidP="00F52732">
      <w:pPr>
        <w:spacing w:line="240" w:lineRule="auto"/>
        <w:jc w:val="both"/>
        <w:rPr>
          <w:rFonts w:ascii="Verdana" w:hAnsi="Verdana" w:cs="Verdana"/>
          <w:color w:val="5F5F5F"/>
          <w:sz w:val="24"/>
          <w:szCs w:val="24"/>
        </w:rPr>
      </w:pPr>
      <w:r w:rsidRPr="00D706E9">
        <w:rPr>
          <w:rFonts w:ascii="Times New Roman" w:hAnsi="Times New Roman" w:cs="Times New Roman"/>
          <w:color w:val="333333"/>
          <w:sz w:val="28"/>
          <w:szCs w:val="28"/>
        </w:rPr>
        <w:t>7.</w:t>
      </w:r>
      <w:r>
        <w:rPr>
          <w:rFonts w:ascii="Verdana" w:hAnsi="Verdana" w:cs="Verdana"/>
          <w:color w:val="333333"/>
          <w:sz w:val="24"/>
          <w:szCs w:val="24"/>
        </w:rPr>
        <w:t xml:space="preserve"> </w:t>
      </w:r>
      <w:hyperlink r:id="rId5" w:history="1">
        <w:r w:rsidRPr="00DB69E3">
          <w:rPr>
            <w:rStyle w:val="Hyperlink"/>
            <w:rFonts w:ascii="Verdana" w:hAnsi="Verdana" w:cs="Verdana"/>
            <w:sz w:val="24"/>
            <w:szCs w:val="24"/>
          </w:rPr>
          <w:t>www.academia.edu/6490176/Nutraceuticals_A_Review_on_current_status</w:t>
        </w:r>
      </w:hyperlink>
    </w:p>
    <w:p w:rsidR="00057E02" w:rsidRDefault="00D706E9" w:rsidP="00F52732">
      <w:pPr>
        <w:spacing w:line="240" w:lineRule="auto"/>
        <w:jc w:val="both"/>
        <w:rPr>
          <w:rFonts w:ascii="Arial" w:hAnsi="Arial" w:cs="Arial"/>
          <w:color w:val="006621"/>
          <w:sz w:val="21"/>
          <w:szCs w:val="21"/>
          <w:shd w:val="clear" w:color="auto" w:fill="FFFFFF"/>
        </w:rPr>
      </w:pPr>
      <w:r>
        <w:rPr>
          <w:rFonts w:ascii="Verdana" w:hAnsi="Verdana" w:cs="Verdana"/>
          <w:color w:val="5F5F5F"/>
          <w:sz w:val="24"/>
          <w:szCs w:val="24"/>
        </w:rPr>
        <w:t>8.</w:t>
      </w:r>
      <w:r w:rsidR="00057E02" w:rsidRPr="00057E02">
        <w:t xml:space="preserve"> </w:t>
      </w:r>
      <w:hyperlink r:id="rId6" w:history="1">
        <w:r w:rsidR="00057E02" w:rsidRPr="00057E02">
          <w:rPr>
            <w:rStyle w:val="Hyperlink"/>
            <w:rFonts w:ascii="Times New Roman" w:hAnsi="Times New Roman" w:cs="Times New Roman"/>
            <w:sz w:val="28"/>
            <w:szCs w:val="28"/>
            <w:shd w:val="clear" w:color="auto" w:fill="FFFFFF"/>
          </w:rPr>
          <w:t>https://en.wikipedia.org/wiki/Nutraceutical</w:t>
        </w:r>
      </w:hyperlink>
    </w:p>
    <w:p w:rsidR="00D706E9" w:rsidRDefault="00D706E9" w:rsidP="00F52732">
      <w:pPr>
        <w:jc w:val="both"/>
      </w:pPr>
    </w:p>
    <w:sectPr w:rsidR="00D706E9" w:rsidSect="00E01D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6E9"/>
    <w:rsid w:val="00057E02"/>
    <w:rsid w:val="00D706E9"/>
    <w:rsid w:val="00E01D46"/>
    <w:rsid w:val="00F52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5DBE167-E494-45DC-B894-D49615C8B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1D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06E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Nutraceutical" TargetMode="External"/><Relationship Id="rId5" Type="http://schemas.openxmlformats.org/officeDocument/2006/relationships/hyperlink" Target="http://www.academia.edu/6490176/Nutraceuticals_A_Review_on_current_status" TargetMode="External"/><Relationship Id="rId4" Type="http://schemas.openxmlformats.org/officeDocument/2006/relationships/hyperlink" Target="http://www.ncbi.nlm.nih.gov/pmc/articles/PMC364536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821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Vedavalli Sachithananthan</cp:lastModifiedBy>
  <cp:revision>2</cp:revision>
  <dcterms:created xsi:type="dcterms:W3CDTF">2017-11-22T05:27:00Z</dcterms:created>
  <dcterms:modified xsi:type="dcterms:W3CDTF">2017-11-22T05:27:00Z</dcterms:modified>
</cp:coreProperties>
</file>