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08C" w:rsidRDefault="004B12F2" w:rsidP="00DC4A42">
      <w:pPr>
        <w:pStyle w:val="BodyText"/>
        <w:spacing w:before="73" w:line="198" w:lineRule="exact"/>
        <w:ind w:left="100" w:right="5987"/>
        <w:rPr>
          <w:rFonts w:ascii="Arial"/>
        </w:rPr>
      </w:pPr>
      <w:r w:rsidRPr="003F78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In vitro and in vivo anti-inflammatory activity of bovine milkfat globule (M</w:t>
      </w:r>
      <w:r w:rsidR="00E23323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FG</w:t>
      </w:r>
      <w:r w:rsidRPr="003F78C1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M)-derived complex lipid fractions</w:t>
      </w:r>
      <w:r w:rsidR="00DC4A42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 xml:space="preserve"> </w:t>
      </w:r>
      <w:r w:rsidR="00DC4A42">
        <w:rPr>
          <w:rFonts w:ascii="Arial"/>
        </w:rPr>
        <w:t>Kate Palmano Ph.D.</w:t>
      </w:r>
      <w:r w:rsidR="00593285" w:rsidRPr="00593285">
        <w:rPr>
          <w:rFonts w:ascii="Arial"/>
          <w:vertAlign w:val="superscript"/>
        </w:rPr>
        <w:t>1</w:t>
      </w:r>
      <w:r w:rsidR="00DC4A42">
        <w:rPr>
          <w:rFonts w:ascii="Arial"/>
        </w:rPr>
        <w:t>, Caroline Gunn Ph.D.</w:t>
      </w:r>
      <w:r w:rsidR="00593285" w:rsidRPr="00593285">
        <w:rPr>
          <w:rFonts w:ascii="Arial"/>
          <w:vertAlign w:val="superscript"/>
        </w:rPr>
        <w:t xml:space="preserve"> </w:t>
      </w:r>
      <w:r w:rsidR="00593285">
        <w:rPr>
          <w:rFonts w:ascii="Arial"/>
          <w:vertAlign w:val="superscript"/>
        </w:rPr>
        <w:t>2</w:t>
      </w:r>
      <w:r w:rsidR="00593285">
        <w:rPr>
          <w:rFonts w:ascii="Arial"/>
        </w:rPr>
        <w:t>,</w:t>
      </w:r>
      <w:r w:rsidR="00DC4A42">
        <w:rPr>
          <w:rFonts w:ascii="Arial"/>
        </w:rPr>
        <w:t xml:space="preserve"> Alastair MacGibbon Ph.D.</w:t>
      </w:r>
      <w:r w:rsidR="00593285" w:rsidRPr="00593285">
        <w:rPr>
          <w:rFonts w:ascii="Arial"/>
          <w:vertAlign w:val="superscript"/>
        </w:rPr>
        <w:t xml:space="preserve"> </w:t>
      </w:r>
      <w:r w:rsidR="00593285">
        <w:rPr>
          <w:rFonts w:ascii="Arial"/>
          <w:vertAlign w:val="superscript"/>
        </w:rPr>
        <w:t>2</w:t>
      </w:r>
      <w:r w:rsidR="00DC4A42">
        <w:rPr>
          <w:rFonts w:ascii="Arial"/>
        </w:rPr>
        <w:t>, Linda Schollum Ph.D.</w:t>
      </w:r>
      <w:r w:rsidR="00593285" w:rsidRPr="00593285">
        <w:rPr>
          <w:rFonts w:ascii="Arial"/>
          <w:vertAlign w:val="superscript"/>
        </w:rPr>
        <w:t xml:space="preserve"> </w:t>
      </w:r>
      <w:r w:rsidR="00593285">
        <w:rPr>
          <w:rFonts w:ascii="Arial"/>
          <w:vertAlign w:val="superscript"/>
        </w:rPr>
        <w:t>2</w:t>
      </w:r>
    </w:p>
    <w:p w:rsidR="00AE3E37" w:rsidRDefault="00593285" w:rsidP="00DC4A42">
      <w:pPr>
        <w:pStyle w:val="BodyText"/>
        <w:spacing w:before="73" w:line="198" w:lineRule="exact"/>
        <w:ind w:left="100" w:right="5987"/>
        <w:rPr>
          <w:rFonts w:ascii="Arial"/>
          <w:sz w:val="20"/>
        </w:rPr>
      </w:pPr>
      <w:r w:rsidRPr="00593285">
        <w:rPr>
          <w:rFonts w:ascii="Arial"/>
          <w:vertAlign w:val="superscript"/>
        </w:rPr>
        <w:t>1</w:t>
      </w:r>
      <w:r>
        <w:rPr>
          <w:rFonts w:ascii="Arial"/>
        </w:rPr>
        <w:t xml:space="preserve"> Consultant,</w:t>
      </w:r>
      <w:r w:rsidR="00FA758A">
        <w:rPr>
          <w:rFonts w:ascii="Arial"/>
        </w:rPr>
        <w:t xml:space="preserve"> </w:t>
      </w:r>
      <w:r w:rsidRPr="00593285">
        <w:rPr>
          <w:rFonts w:ascii="Arial"/>
          <w:vertAlign w:val="superscript"/>
        </w:rPr>
        <w:t>2</w:t>
      </w:r>
      <w:r w:rsidR="00DC4A42">
        <w:rPr>
          <w:rFonts w:ascii="Arial"/>
        </w:rPr>
        <w:t xml:space="preserve"> Fonterra Research </w:t>
      </w:r>
      <w:r w:rsidR="00481648">
        <w:rPr>
          <w:rFonts w:ascii="Arial"/>
        </w:rPr>
        <w:t xml:space="preserve">and Development </w:t>
      </w:r>
      <w:r w:rsidR="00DC4A42">
        <w:rPr>
          <w:rFonts w:ascii="Arial"/>
        </w:rPr>
        <w:t>Centre, NZ</w:t>
      </w:r>
      <w:r w:rsidR="006E208C">
        <w:rPr>
          <w:rFonts w:ascii="Arial"/>
        </w:rPr>
        <w:t>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Background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Many beneficial health properties including anti-inflammatory activity have been reported for the bovine milk fat globule membrane (MFGM) or components thereof. Here we present novel data on the in-vitro and in-vivo anti-inflammatory activity of proprietary MFGM pr</w:t>
      </w:r>
      <w:r w:rsidR="0086537E">
        <w:rPr>
          <w:rFonts w:ascii="Tw Cen MT" w:eastAsia="Tw Cen MT" w:hAnsi="Tw Cen MT" w:cs="Tw Cen MT"/>
          <w:b w:val="0"/>
          <w:bCs w:val="0"/>
          <w:sz w:val="18"/>
          <w:szCs w:val="18"/>
        </w:rPr>
        <w:t>eparations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which confirm and extend the concept of MFGM as a dietary anti-inflammatory agent.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Methods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aim of this study was to present new data on the in-vitro and in-vivo anti-inflammatory activity of proprietary MFGM </w:t>
      </w:r>
      <w:r w:rsidR="00232FF1"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pr</w:t>
      </w:r>
      <w:r w:rsidR="00232FF1">
        <w:rPr>
          <w:rFonts w:ascii="Tw Cen MT" w:eastAsia="Tw Cen MT" w:hAnsi="Tw Cen MT" w:cs="Tw Cen MT"/>
          <w:b w:val="0"/>
          <w:bCs w:val="0"/>
          <w:sz w:val="18"/>
          <w:szCs w:val="18"/>
        </w:rPr>
        <w:t>eparations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. Results from an array of cell-based assays, in which MFGM preparations were tested for their ability to modulate levels of the inflammatory mediators IL-1</w:t>
      </w:r>
      <w:r w:rsidRPr="004B12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, nitric oxide, superoxide anion, cyclo-oxygenase-2, and neutrophil elastase, were collated. Representative estimates of anti-inflammatory activity of MFGM preparations at different dose levels were obtained by combining results from several experiments, firstly converting sample results to %Control and then pooling the results using weighted means. Significance of the pooled results was evaluated using the Student t-test. For the in-vivo trials, rats were fed MFGM preparations for two weeks prior to induction of either adjuvant-arthritis or carrageenan-induced acute inflammation. Inflammation was monitored using foot score and foot volume measures. Results were statistically evaluated using the method employed for in-vitro data.</w:t>
      </w:r>
    </w:p>
    <w:p w:rsidR="004B12F2" w:rsidRPr="004B12F2" w:rsidRDefault="004B12F2" w:rsidP="004B12F2">
      <w:pPr>
        <w:pStyle w:val="Heading3"/>
        <w:spacing w:before="74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Results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: 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In-vitro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MFGM and 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>some of its isolated fractions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displayed broad spectrum inhibitory activity against the inflammatory mediators, although activity was highest against Interleukin-1</w:t>
      </w:r>
      <w:r w:rsidRPr="004B12F2">
        <w:rPr>
          <w:rFonts w:ascii="Calibri" w:eastAsia="Tw Cen MT" w:hAnsi="Calibri" w:cs="Calibri"/>
          <w:b w:val="0"/>
          <w:bCs w:val="0"/>
          <w:sz w:val="18"/>
          <w:szCs w:val="18"/>
        </w:rPr>
        <w:t>β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. T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>wo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MFGM phospholipid pr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>eparations were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effective in reducing adjuvant-induced paw swelling in rats (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>MFGM 1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foot score p=0.02; 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>MFGM 2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foot score p=0.001, foot volume p=0.007), while there was a tendency </w:t>
      </w:r>
      <w:r w:rsidR="00232FF1"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 </w:t>
      </w:r>
      <w:r w:rsidR="00232FF1">
        <w:rPr>
          <w:rFonts w:ascii="Tw Cen MT" w:eastAsia="Tw Cen MT" w:hAnsi="Tw Cen MT" w:cs="Tw Cen MT"/>
          <w:b w:val="0"/>
          <w:bCs w:val="0"/>
          <w:sz w:val="18"/>
          <w:szCs w:val="18"/>
        </w:rPr>
        <w:t>a</w:t>
      </w:r>
      <w:r w:rsidR="0059328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different MFGM preparation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to reduce carrageenan-induced rat paw oedema (foot volume, p=0.072).</w:t>
      </w:r>
    </w:p>
    <w:p w:rsidR="00AE3E37" w:rsidRDefault="004B12F2" w:rsidP="004B12F2">
      <w:pPr>
        <w:pStyle w:val="Heading3"/>
        <w:spacing w:before="74"/>
      </w:pP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Conclusions</w:t>
      </w:r>
      <w:r>
        <w:rPr>
          <w:rFonts w:ascii="Tw Cen MT" w:eastAsia="Tw Cen MT" w:hAnsi="Tw Cen MT" w:cs="Tw Cen MT"/>
          <w:b w:val="0"/>
          <w:bCs w:val="0"/>
          <w:sz w:val="18"/>
          <w:szCs w:val="18"/>
        </w:rPr>
        <w:t>:</w:t>
      </w:r>
      <w:r w:rsidR="00E23323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Pr="004B12F2">
        <w:rPr>
          <w:rFonts w:ascii="Tw Cen MT" w:eastAsia="Tw Cen MT" w:hAnsi="Tw Cen MT" w:cs="Tw Cen MT"/>
          <w:b w:val="0"/>
          <w:bCs w:val="0"/>
          <w:sz w:val="18"/>
          <w:szCs w:val="18"/>
        </w:rPr>
        <w:t>These results confirm the potential of MFGM as a nutritional intervention in mitigation of chronic and acute inflammatory conditions, especially those involved in joint disease, and as a nutritional supplement for general immune regulation.</w:t>
      </w:r>
      <w:r w:rsidR="00A9710C">
        <w:rPr>
          <w:b w:val="0"/>
        </w:rPr>
        <w:br w:type="column"/>
      </w:r>
      <w:r w:rsidR="00A9710C">
        <w:rPr>
          <w:color w:val="BF5A14"/>
        </w:rPr>
        <w:t>Image</w:t>
      </w:r>
    </w:p>
    <w:p w:rsidR="00AE3E37" w:rsidRDefault="00AD6100">
      <w:pPr>
        <w:pStyle w:val="BodyText"/>
        <w:spacing w:before="2"/>
        <w:rPr>
          <w:rFonts w:ascii="Arial"/>
          <w:b/>
          <w:sz w:val="16"/>
        </w:rPr>
      </w:pPr>
      <w:r>
        <w:rPr>
          <w:rFonts w:ascii="Arial"/>
          <w:b/>
          <w:noProof/>
          <w:sz w:val="16"/>
          <w:lang w:val="en-NZ" w:eastAsia="en-NZ"/>
        </w:rPr>
        <w:drawing>
          <wp:inline distT="0" distB="0" distL="0" distR="0" wp14:anchorId="000DAA18">
            <wp:extent cx="1666875" cy="2340146"/>
            <wp:effectExtent l="0" t="0" r="0" b="317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3724" cy="23497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Pr="009C5FE9" w:rsidRDefault="008756E6">
      <w:pPr>
        <w:spacing w:line="200" w:lineRule="exact"/>
        <w:jc w:val="both"/>
        <w:rPr>
          <w:sz w:val="18"/>
          <w:szCs w:val="18"/>
        </w:rPr>
        <w:sectPr w:rsidR="00AE3E37" w:rsidRPr="009C5FE9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9C5FE9">
        <w:rPr>
          <w:sz w:val="18"/>
          <w:szCs w:val="18"/>
        </w:rPr>
        <w:t xml:space="preserve">  </w:t>
      </w:r>
      <w:r w:rsidR="009C5FE9" w:rsidRPr="009C5FE9">
        <w:rPr>
          <w:sz w:val="18"/>
          <w:szCs w:val="18"/>
        </w:rPr>
        <w:t>Figure 1</w:t>
      </w:r>
      <w:r w:rsidRPr="009C5FE9">
        <w:rPr>
          <w:sz w:val="18"/>
          <w:szCs w:val="18"/>
        </w:rPr>
        <w:t xml:space="preserve"> </w:t>
      </w:r>
      <w:r w:rsidR="009C5FE9" w:rsidRPr="009C5FE9">
        <w:rPr>
          <w:sz w:val="18"/>
          <w:szCs w:val="18"/>
        </w:rPr>
        <w:t xml:space="preserve">Disease development in adjuvant-induced arthritis. (a) Arthritis scores (foot scores) and (b) hind feet swelling (foot volume) are shown over time following administration of </w:t>
      </w:r>
      <w:r w:rsidR="00232FF1">
        <w:rPr>
          <w:sz w:val="18"/>
          <w:szCs w:val="18"/>
        </w:rPr>
        <w:t>Freund’s C</w:t>
      </w:r>
      <w:r w:rsidR="00232FF1" w:rsidRPr="00232FF1">
        <w:rPr>
          <w:sz w:val="18"/>
          <w:szCs w:val="18"/>
        </w:rPr>
        <w:t xml:space="preserve">omplete Adjuvant </w:t>
      </w:r>
      <w:r w:rsidR="00232FF1">
        <w:rPr>
          <w:sz w:val="18"/>
          <w:szCs w:val="18"/>
        </w:rPr>
        <w:t>(</w:t>
      </w:r>
      <w:r w:rsidR="009C5FE9" w:rsidRPr="009C5FE9">
        <w:rPr>
          <w:sz w:val="18"/>
          <w:szCs w:val="18"/>
        </w:rPr>
        <w:t>CFA</w:t>
      </w:r>
      <w:r w:rsidR="00232FF1">
        <w:rPr>
          <w:sz w:val="18"/>
          <w:szCs w:val="18"/>
        </w:rPr>
        <w:t>)</w:t>
      </w:r>
      <w:r w:rsidR="009C5FE9" w:rsidRPr="009C5FE9">
        <w:rPr>
          <w:sz w:val="18"/>
          <w:szCs w:val="18"/>
        </w:rPr>
        <w:t xml:space="preserve"> (Trial A). Values represent means for control (n=10), </w:t>
      </w:r>
      <w:r w:rsidR="00593285">
        <w:rPr>
          <w:sz w:val="18"/>
          <w:szCs w:val="18"/>
        </w:rPr>
        <w:t xml:space="preserve">MFGM 1 </w:t>
      </w:r>
      <w:r w:rsidR="009C5FE9" w:rsidRPr="009C5FE9">
        <w:rPr>
          <w:sz w:val="18"/>
          <w:szCs w:val="18"/>
        </w:rPr>
        <w:t xml:space="preserve">supplemented (n=16), </w:t>
      </w:r>
      <w:r w:rsidR="00593285">
        <w:rPr>
          <w:sz w:val="18"/>
          <w:szCs w:val="18"/>
        </w:rPr>
        <w:t>MFGM 2</w:t>
      </w:r>
      <w:r w:rsidR="009C5FE9" w:rsidRPr="009C5FE9">
        <w:rPr>
          <w:sz w:val="18"/>
          <w:szCs w:val="18"/>
        </w:rPr>
        <w:t xml:space="preserve"> supplemented (n=16) and meloxicam-treated (n=16) animals, respectively, where (n) represents the number of measurements per group.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NZ" w:eastAsia="en-NZ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C6D3BB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E666C5" w:rsidRDefault="008756E6" w:rsidP="00E666C5">
      <w:pPr>
        <w:spacing w:before="92"/>
        <w:ind w:right="4234"/>
        <w:rPr>
          <w:rFonts w:ascii="Arial"/>
          <w:color w:val="BF5A14"/>
        </w:rPr>
      </w:pPr>
      <w:r>
        <w:rPr>
          <w:noProof/>
        </w:rPr>
        <w:t xml:space="preserve">          </w:t>
      </w:r>
      <w:r w:rsidR="00232FF1" w:rsidRPr="00232FF1">
        <w:rPr>
          <w:noProof/>
          <w:lang w:val="en-NZ" w:eastAsia="en-NZ"/>
        </w:rPr>
        <w:drawing>
          <wp:inline distT="0" distB="0" distL="0" distR="0">
            <wp:extent cx="494664" cy="370998"/>
            <wp:effectExtent l="0" t="0" r="1270" b="0"/>
            <wp:docPr id="3" name="Picture 3" descr="\\zeus\home\041Home\gunncaro\My Documents\My Pictures\Ka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eus\home\041Home\gunncaro\My Documents\My Pictures\Kat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956" cy="3757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32FF1" w:rsidRPr="00232FF1">
        <w:rPr>
          <w:noProof/>
          <w:lang w:val="en-NZ" w:eastAsia="en-NZ"/>
        </w:rPr>
        <w:t xml:space="preserve"> </w:t>
      </w:r>
      <w:r>
        <w:rPr>
          <w:noProof/>
        </w:rPr>
        <w:t xml:space="preserve">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:rsidR="00232FF1" w:rsidRPr="00232FF1" w:rsidRDefault="00232FF1" w:rsidP="00E666C5">
      <w:pPr>
        <w:spacing w:before="92"/>
        <w:ind w:right="4234"/>
        <w:rPr>
          <w:rFonts w:ascii="Arial" w:eastAsia="Times New Roman" w:hAnsi="Arial" w:cs="Arial"/>
          <w:color w:val="000000"/>
          <w:sz w:val="14"/>
          <w:szCs w:val="14"/>
        </w:rPr>
      </w:pPr>
      <w:r w:rsidRPr="00232FF1">
        <w:rPr>
          <w:rFonts w:ascii="Arial" w:hAnsi="Arial" w:cs="Arial"/>
          <w:sz w:val="14"/>
          <w:szCs w:val="14"/>
        </w:rPr>
        <w:t xml:space="preserve">After completing a BSc and MSc at Auckland University, NZ, and gaining a PhD in Biochemistry from Nottingham University, UK, Kate </w:t>
      </w:r>
      <w:r w:rsidR="00E666C5">
        <w:rPr>
          <w:rFonts w:ascii="Arial" w:hAnsi="Arial" w:cs="Arial"/>
          <w:sz w:val="14"/>
          <w:szCs w:val="14"/>
        </w:rPr>
        <w:t xml:space="preserve">Palmano </w:t>
      </w:r>
      <w:r w:rsidRPr="00232FF1">
        <w:rPr>
          <w:rFonts w:ascii="Arial" w:hAnsi="Arial" w:cs="Arial"/>
          <w:sz w:val="14"/>
          <w:szCs w:val="14"/>
        </w:rPr>
        <w:t xml:space="preserve">has since worked in both academic and industrial sectors, in both research and teaching roles. </w:t>
      </w:r>
      <w:r w:rsidRPr="00232FF1">
        <w:rPr>
          <w:rFonts w:ascii="Arial" w:hAnsi="Arial" w:cs="Arial"/>
          <w:color w:val="000000"/>
          <w:sz w:val="14"/>
          <w:szCs w:val="14"/>
        </w:rPr>
        <w:t>She has extensive industry expertise in milk protein chemistry, in particular the fractionation, purification and characterisation of whey proteins and peptides, and also has wide-ranging experience in other research fields, principally biomedical. These include clinical diabetes, membrane bioenergetics, intermediary metabolism, and phospholipid phase chemistry. Achievements for industry include process, product and application patents; industry analytical methods publications; product and technical bulletins; discovery through to clinical trial and commercialisation; technical representation to clients; consultancy on IP and concept development. Kate currently consults for academic institutions and the dairy industry.</w:t>
      </w:r>
    </w:p>
    <w:p w:rsidR="00AE3E37" w:rsidRDefault="00232FF1" w:rsidP="00232FF1">
      <w:pPr>
        <w:spacing w:before="62"/>
        <w:ind w:left="4217" w:right="4235"/>
        <w:jc w:val="center"/>
        <w:rPr>
          <w:rFonts w:ascii="Arial"/>
          <w:sz w:val="20"/>
        </w:rPr>
      </w:pPr>
      <w:r>
        <w:rPr>
          <w:rFonts w:ascii="Arial"/>
          <w:sz w:val="14"/>
        </w:rPr>
        <w:t xml:space="preserve"> </w:t>
      </w:r>
      <w:r w:rsidR="00A9710C">
        <w:rPr>
          <w:rFonts w:ascii="Arial"/>
          <w:sz w:val="14"/>
        </w:rPr>
        <w:t xml:space="preserve">Email: </w:t>
      </w:r>
      <w:r w:rsidR="00EA0953">
        <w:rPr>
          <w:rFonts w:ascii="Arial"/>
          <w:sz w:val="14"/>
        </w:rPr>
        <w:t>caroline.gunn@fonterra.com</w:t>
      </w:r>
      <w:r w:rsidR="00292ED9">
        <w:rPr>
          <w:noProof/>
          <w:lang w:val="en-NZ" w:eastAsia="en-NZ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F41C68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0953" w:rsidRDefault="00EA0953">
      <w:r>
        <w:separator/>
      </w:r>
    </w:p>
  </w:endnote>
  <w:endnote w:type="continuationSeparator" w:id="0">
    <w:p w:rsidR="00EA0953" w:rsidRDefault="00EA0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953" w:rsidRDefault="00EA0953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A0953" w:rsidRPr="005B3A56" w:rsidRDefault="00EA0953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A0953" w:rsidRPr="005B3A56" w:rsidRDefault="00EA0953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A0953" w:rsidRPr="005B3A56" w:rsidRDefault="00EA0953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A0953" w:rsidRPr="005B3A56" w:rsidRDefault="00EA0953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A0953" w:rsidRPr="005B3A56" w:rsidRDefault="00EA0953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A0953" w:rsidRPr="005B3A56" w:rsidRDefault="00EA0953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A0953" w:rsidRPr="005B3A56" w:rsidRDefault="00EA0953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A0953" w:rsidRPr="005B3A56" w:rsidRDefault="00EA0953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A0953" w:rsidRPr="005B3A56" w:rsidRDefault="00EA0953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0953" w:rsidRDefault="00EA0953">
      <w:r>
        <w:separator/>
      </w:r>
    </w:p>
  </w:footnote>
  <w:footnote w:type="continuationSeparator" w:id="0">
    <w:p w:rsidR="00EA0953" w:rsidRDefault="00EA09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A0953" w:rsidRDefault="00EA0953">
    <w:pPr>
      <w:pStyle w:val="BodyText"/>
      <w:spacing w:line="14" w:lineRule="auto"/>
      <w:rPr>
        <w:sz w:val="20"/>
      </w:rPr>
    </w:pP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A0953" w:rsidRPr="005B3A56" w:rsidRDefault="00EA0953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NZ" w:eastAsia="en-NZ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A0953" w:rsidRPr="005B3A56" w:rsidRDefault="00EA0953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A0953" w:rsidRPr="005B3A56" w:rsidRDefault="00EA0953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A0953" w:rsidRPr="005B3A56" w:rsidRDefault="00EA0953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A0953" w:rsidRPr="005B3A56" w:rsidRDefault="00EA0953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46176"/>
    <w:rsid w:val="000D06F1"/>
    <w:rsid w:val="000E2911"/>
    <w:rsid w:val="001135C6"/>
    <w:rsid w:val="001263DF"/>
    <w:rsid w:val="001918B2"/>
    <w:rsid w:val="00232FF1"/>
    <w:rsid w:val="002455EC"/>
    <w:rsid w:val="00270364"/>
    <w:rsid w:val="00292ED9"/>
    <w:rsid w:val="003F78C1"/>
    <w:rsid w:val="00404E5B"/>
    <w:rsid w:val="00406789"/>
    <w:rsid w:val="00414F7B"/>
    <w:rsid w:val="004355DC"/>
    <w:rsid w:val="004749B4"/>
    <w:rsid w:val="00481648"/>
    <w:rsid w:val="00494130"/>
    <w:rsid w:val="004B12F2"/>
    <w:rsid w:val="004F3523"/>
    <w:rsid w:val="00593285"/>
    <w:rsid w:val="005973B9"/>
    <w:rsid w:val="005B3A56"/>
    <w:rsid w:val="006060CE"/>
    <w:rsid w:val="0063497F"/>
    <w:rsid w:val="006E208C"/>
    <w:rsid w:val="0086537E"/>
    <w:rsid w:val="00873DF0"/>
    <w:rsid w:val="008756E6"/>
    <w:rsid w:val="008A08B6"/>
    <w:rsid w:val="008E2A3E"/>
    <w:rsid w:val="009B2D44"/>
    <w:rsid w:val="009C5FE9"/>
    <w:rsid w:val="00A07E82"/>
    <w:rsid w:val="00A9710C"/>
    <w:rsid w:val="00AD6100"/>
    <w:rsid w:val="00AE3E37"/>
    <w:rsid w:val="00B21A57"/>
    <w:rsid w:val="00C33602"/>
    <w:rsid w:val="00CD6F55"/>
    <w:rsid w:val="00DC2BA7"/>
    <w:rsid w:val="00DC4A42"/>
    <w:rsid w:val="00DE3104"/>
    <w:rsid w:val="00E23323"/>
    <w:rsid w:val="00E26B10"/>
    <w:rsid w:val="00E666C5"/>
    <w:rsid w:val="00E7546B"/>
    <w:rsid w:val="00EA0953"/>
    <w:rsid w:val="00F72EEA"/>
    <w:rsid w:val="00F84CAE"/>
    <w:rsid w:val="00FA758A"/>
    <w:rsid w:val="00FC55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5:docId w15:val="{428D3C34-E57A-4391-8CF4-FD92CF7C4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Caroline Gunn</cp:lastModifiedBy>
  <cp:revision>2</cp:revision>
  <cp:lastPrinted>2017-11-16T03:40:00Z</cp:lastPrinted>
  <dcterms:created xsi:type="dcterms:W3CDTF">2017-11-16T03:41:00Z</dcterms:created>
  <dcterms:modified xsi:type="dcterms:W3CDTF">2017-11-16T03:41:00Z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