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3A35" w:rsidRDefault="008E7B79">
      <w:pPr>
        <w:rPr>
          <w:b/>
          <w:sz w:val="32"/>
          <w:szCs w:val="32"/>
        </w:rPr>
      </w:pPr>
      <w:r w:rsidRPr="008E7B79">
        <w:rPr>
          <w:b/>
          <w:sz w:val="32"/>
          <w:szCs w:val="32"/>
        </w:rPr>
        <w:t>Linking to Improve Nursing Care and Knowledge</w:t>
      </w:r>
    </w:p>
    <w:p w:rsidR="008E7B79" w:rsidRDefault="008E7B79" w:rsidP="008E7B79">
      <w:pPr>
        <w:spacing w:after="0"/>
      </w:pPr>
      <w:r>
        <w:t xml:space="preserve">*Kenrick D. Cato, PhD, RN, CPHIMS </w:t>
      </w:r>
    </w:p>
    <w:p w:rsidR="008E7B79" w:rsidRDefault="008E7B79" w:rsidP="008E7B79">
      <w:pPr>
        <w:spacing w:after="0"/>
      </w:pPr>
      <w:r>
        <w:t xml:space="preserve">Carolyn Sun, PhD, RN, ANP-BC </w:t>
      </w:r>
    </w:p>
    <w:p w:rsidR="008E7B79" w:rsidRDefault="008E7B79" w:rsidP="008E7B79">
      <w:pPr>
        <w:spacing w:after="0"/>
      </w:pPr>
      <w:r>
        <w:t xml:space="preserve">Eileen J. Carter, PhD, RN </w:t>
      </w:r>
    </w:p>
    <w:p w:rsidR="008E7B79" w:rsidRDefault="008E7B79" w:rsidP="008E7B79">
      <w:pPr>
        <w:spacing w:after="0"/>
      </w:pPr>
      <w:r>
        <w:t xml:space="preserve">Jianfang Liu, PhD, MAS, BE </w:t>
      </w:r>
    </w:p>
    <w:p w:rsidR="008E7B79" w:rsidRDefault="008E7B79" w:rsidP="008E7B79">
      <w:pPr>
        <w:spacing w:after="0"/>
      </w:pPr>
      <w:r>
        <w:t xml:space="preserve">Reynaldo Rivera, DNP, RN, NEA-BC, FAAN </w:t>
      </w:r>
    </w:p>
    <w:p w:rsidR="008E7B79" w:rsidRDefault="008E7B79" w:rsidP="008E7B79">
      <w:pPr>
        <w:spacing w:after="0"/>
      </w:pPr>
      <w:r>
        <w:t>Elaine Larson, PhD, RN, FAAN, CIC</w:t>
      </w:r>
    </w:p>
    <w:p w:rsidR="008E7B79" w:rsidRDefault="008E7B79" w:rsidP="008E7B79">
      <w:pPr>
        <w:spacing w:after="0"/>
      </w:pPr>
    </w:p>
    <w:p w:rsidR="008E7B79" w:rsidRDefault="008E7B79" w:rsidP="008E7B79">
      <w:pPr>
        <w:spacing w:after="0"/>
        <w:jc w:val="both"/>
        <w:rPr>
          <w:sz w:val="24"/>
          <w:szCs w:val="24"/>
        </w:rPr>
      </w:pPr>
      <w:r w:rsidRPr="008E7B79">
        <w:rPr>
          <w:b/>
          <w:sz w:val="24"/>
          <w:szCs w:val="24"/>
        </w:rPr>
        <w:t>Author Affiliations</w:t>
      </w:r>
      <w:r w:rsidRPr="008E7B79">
        <w:rPr>
          <w:sz w:val="24"/>
          <w:szCs w:val="24"/>
        </w:rPr>
        <w:t xml:space="preserve">: Clinical Nurse Scientist (Drs Cato, Sun, and Carter), Director of Research and Innovation (Dr Rivera), NewYorkPresbyterian Hospital; Assistant Professor (Dr Cato), Associate Research Scientist (Dr Sun), Assistant Professor of Nursing, CUMC (Drs Carter and Liu), Professor of Nursing Research (Dr Larson), Columbia University School of Nursing, New York, New York. </w:t>
      </w:r>
    </w:p>
    <w:p w:rsidR="008E7B79" w:rsidRDefault="008E7B79" w:rsidP="008E7B79">
      <w:pPr>
        <w:spacing w:after="0"/>
        <w:jc w:val="both"/>
      </w:pPr>
      <w:r>
        <w:rPr>
          <w:b/>
        </w:rPr>
        <w:t>*</w:t>
      </w:r>
      <w:r w:rsidRPr="008E7B79">
        <w:t>Correspondence</w:t>
      </w:r>
      <w:r>
        <w:t>: Dr Cato, Columbia University School of Nursing, 560 West 168th, Room 611, New York, NY 10032 (kdc2110@ columbia.edu).</w:t>
      </w:r>
    </w:p>
    <w:p w:rsidR="008E7B79" w:rsidRDefault="008E7B79" w:rsidP="008E7B79">
      <w:pPr>
        <w:spacing w:after="0"/>
        <w:jc w:val="both"/>
      </w:pPr>
    </w:p>
    <w:p w:rsidR="008E7B79" w:rsidRPr="008E7B79" w:rsidRDefault="008E7B79" w:rsidP="008E7B79">
      <w:pPr>
        <w:spacing w:after="0"/>
        <w:jc w:val="both"/>
        <w:rPr>
          <w:b/>
          <w:sz w:val="28"/>
          <w:szCs w:val="28"/>
        </w:rPr>
      </w:pPr>
      <w:r w:rsidRPr="008E7B79">
        <w:rPr>
          <w:b/>
          <w:sz w:val="28"/>
          <w:szCs w:val="28"/>
        </w:rPr>
        <w:t>Abstract:</w:t>
      </w:r>
    </w:p>
    <w:p w:rsidR="008E7B79" w:rsidRDefault="008E7B79" w:rsidP="008E7B79">
      <w:pPr>
        <w:spacing w:after="0"/>
        <w:jc w:val="both"/>
      </w:pPr>
      <w:r w:rsidRPr="008E7B79">
        <w:rPr>
          <w:b/>
        </w:rPr>
        <w:t>OBJECTIVES</w:t>
      </w:r>
      <w:r>
        <w:t xml:space="preserve">: The aim of this study is to describe and evaluate the impact of the Linking to Improve Nursing Care and Knowledge (LINK) project on increasing nurse-led clinical research. </w:t>
      </w:r>
    </w:p>
    <w:p w:rsidR="008E7B79" w:rsidRDefault="008E7B79" w:rsidP="008E7B79">
      <w:pPr>
        <w:spacing w:after="0"/>
        <w:jc w:val="both"/>
      </w:pPr>
    </w:p>
    <w:p w:rsidR="008E7B79" w:rsidRDefault="008E7B79" w:rsidP="008E7B79">
      <w:pPr>
        <w:spacing w:after="0"/>
        <w:jc w:val="both"/>
      </w:pPr>
      <w:r w:rsidRPr="008E7B79">
        <w:rPr>
          <w:b/>
        </w:rPr>
        <w:t>BACKGROUND</w:t>
      </w:r>
      <w:r>
        <w:t xml:space="preserve">: Nurse-generated research is the cornerstone of evidence-based practice and continues to be a marker of nursing excellence. However, the dearth of PhD-prepared nurses creates a challenge for creating an environment to promote clinical nursing research. We evaluated the LINK project, an academic-clinical partnership, to assess its impact and feasibility, for fostering nurse-led clinical research. </w:t>
      </w:r>
    </w:p>
    <w:p w:rsidR="008E7B79" w:rsidRDefault="008E7B79" w:rsidP="008E7B79">
      <w:pPr>
        <w:spacing w:after="0"/>
        <w:jc w:val="both"/>
      </w:pPr>
    </w:p>
    <w:p w:rsidR="008E7B79" w:rsidRDefault="008E7B79" w:rsidP="008E7B79">
      <w:pPr>
        <w:spacing w:after="0"/>
        <w:jc w:val="both"/>
      </w:pPr>
      <w:r w:rsidRPr="008E7B79">
        <w:rPr>
          <w:b/>
        </w:rPr>
        <w:t>METHODS</w:t>
      </w:r>
      <w:r>
        <w:t>: The LINK project created a formal command and control structure bringing together existing academic resources, including a PhD-prepared nurse researcher, a biostatistician, and a development of a formal research consultation request process. Measures tracked over a 12-month period included average response time, request volume, client satisfaction, institutional review board (IRB)Ysubmitted protocols, and work products.</w:t>
      </w:r>
    </w:p>
    <w:p w:rsidR="008E7B79" w:rsidRDefault="008E7B79" w:rsidP="008E7B79">
      <w:pPr>
        <w:spacing w:after="0"/>
        <w:jc w:val="both"/>
      </w:pPr>
    </w:p>
    <w:p w:rsidR="008E7B79" w:rsidRDefault="008E7B79" w:rsidP="008E7B79">
      <w:pPr>
        <w:spacing w:after="0"/>
        <w:jc w:val="both"/>
      </w:pPr>
      <w:r w:rsidRPr="008E7B79">
        <w:rPr>
          <w:b/>
        </w:rPr>
        <w:t>RESULTS</w:t>
      </w:r>
      <w:r w:rsidRPr="008E7B79">
        <w:t xml:space="preserve">: All measures exceeded expectations with an average 1-day request response time, 35 requests, 98% client satisfaction, a 367% increase in nurse-led IRB approved protocols from the previous 12-month period, and 2 publications in peer-reviewed journals. </w:t>
      </w:r>
    </w:p>
    <w:p w:rsidR="008E7B79" w:rsidRDefault="008E7B79" w:rsidP="008E7B79">
      <w:pPr>
        <w:spacing w:after="0"/>
        <w:jc w:val="both"/>
      </w:pPr>
    </w:p>
    <w:p w:rsidR="008E7B79" w:rsidRDefault="008E7B79" w:rsidP="008E7B79">
      <w:pPr>
        <w:spacing w:after="0"/>
        <w:jc w:val="both"/>
      </w:pPr>
      <w:r w:rsidRPr="008E7B79">
        <w:rPr>
          <w:b/>
        </w:rPr>
        <w:t>CONCLUSIONS</w:t>
      </w:r>
      <w:r w:rsidRPr="008E7B79">
        <w:t>: The process and outcome measures indicate that the LINK project is feasible, sustainable, and reproducible. We were able to meet and, in many cases, exceed measurement goals. In addition, implementation science literature indicates that the most valid measure of a successful project rollout is user satisfaction and usefulness. The LINK project received consistently positive feedback.</w:t>
      </w:r>
    </w:p>
    <w:p w:rsidR="008E7B79" w:rsidRDefault="008E7B79" w:rsidP="008E7B79">
      <w:pPr>
        <w:spacing w:after="0"/>
        <w:jc w:val="both"/>
      </w:pPr>
    </w:p>
    <w:p w:rsidR="008E7B79" w:rsidRDefault="008E7B79" w:rsidP="008E7B79">
      <w:pPr>
        <w:spacing w:after="0"/>
        <w:jc w:val="both"/>
      </w:pPr>
    </w:p>
    <w:p w:rsidR="008E7B79" w:rsidRDefault="008E7B79" w:rsidP="008E7B79">
      <w:pPr>
        <w:spacing w:after="0"/>
        <w:jc w:val="both"/>
      </w:pPr>
    </w:p>
    <w:p w:rsidR="008E7B79" w:rsidRDefault="008E7B79" w:rsidP="008E7B79">
      <w:pPr>
        <w:spacing w:after="0"/>
        <w:jc w:val="both"/>
      </w:pPr>
      <w:r>
        <w:lastRenderedPageBreak/>
        <w:t>Nurse-generated research is the cornerstone of evidence-based practice (EBP) and continues to be a marker of nursing excellence, both nationally and globally. As the frontline care providers, nurses are exceptionally positioned to conduct translational research to transform healthcare and improve patient outcomes. With a nursing shortage and a dearth of PhD-prepared nurses, creating an environment to promote nursing research remains a challenge. Because nursing is fundamentally a practice discipline, the increasingly complex nature of healthcare and the ongoing challenge to include research in the expanding role of the clinical nurse, enhanced partnerships between schools of nursing and academic health centers are needed to meet growing healthcare needs and ensure the application of EBP. To this end, in 2014 a partnership was formed between a major urban hospital (NewYork Presbyterian Hospital) and urban university (Columbia University School of Nursing) to formulate a number of planned initiatives to bridge the gap between academic and clinical nursing. In 2016, the American Association Colleges of Nursing’s (AACN) Report, BAdvancing Healthcare Transformation: A New Era for Academic Nursing[ was published, placing a focus on the importance of deep-rooted relationships between institutions that have historically been viewed as service, research, and education oriented, further validating the critical importance of such a partnership. In alignment with the recently published AACN Report and in response to local needs identified in our hospital and School of Nursing (SON), a number of targeted interventions were initiated over a 2-year period between these institutions. The hospital consisted of 6 campuses located within the New York City metropolitan area as well as a network of regional hospitals and an ambulatory care network. Previously, we evaluated the impact of the BLinking to Improve Nursing Care and Knowledge (LINK) project[ intervention on the number of times nurses visited the affiliated health sciences library. The aim of this article is to describe and evaluate the impact of the LINK project on increasing the number of research protocols and process measures, for example, number of research consultations received, nurse satisfaction, and others, over a 1-year period. We suggest that the evaluation process and outcomes could provide a useful framework to be applied in other settings.</w:t>
      </w:r>
    </w:p>
    <w:p w:rsidR="008E7B79" w:rsidRDefault="008E7B79" w:rsidP="008E7B79">
      <w:pPr>
        <w:spacing w:after="0"/>
        <w:jc w:val="both"/>
      </w:pPr>
    </w:p>
    <w:p w:rsidR="008E7B79" w:rsidRDefault="008E7B79" w:rsidP="008E7B79">
      <w:pPr>
        <w:spacing w:after="0"/>
        <w:jc w:val="both"/>
        <w:rPr>
          <w:b/>
        </w:rPr>
      </w:pPr>
      <w:r w:rsidRPr="008E7B79">
        <w:rPr>
          <w:b/>
        </w:rPr>
        <w:t>Methods: The LINK Project</w:t>
      </w:r>
    </w:p>
    <w:p w:rsidR="008E7B79" w:rsidRDefault="008E7B79" w:rsidP="008E7B79">
      <w:pPr>
        <w:spacing w:after="0"/>
        <w:jc w:val="both"/>
        <w:rPr>
          <w:b/>
        </w:rPr>
      </w:pPr>
    </w:p>
    <w:p w:rsidR="008E7B79" w:rsidRDefault="008E7B79" w:rsidP="008E7B79">
      <w:pPr>
        <w:spacing w:after="0"/>
        <w:jc w:val="both"/>
      </w:pPr>
      <w:r w:rsidRPr="008E7B79">
        <w:rPr>
          <w:b/>
        </w:rPr>
        <w:t>Project Description</w:t>
      </w:r>
      <w:r>
        <w:t xml:space="preserve"> </w:t>
      </w:r>
    </w:p>
    <w:p w:rsidR="008E7B79" w:rsidRDefault="008E7B79" w:rsidP="008E7B79">
      <w:pPr>
        <w:spacing w:after="0"/>
        <w:jc w:val="both"/>
      </w:pPr>
    </w:p>
    <w:p w:rsidR="000200EA" w:rsidRDefault="008E7B79" w:rsidP="008E7B79">
      <w:pPr>
        <w:spacing w:after="0"/>
        <w:jc w:val="both"/>
      </w:pPr>
      <w:r>
        <w:t xml:space="preserve">Born from a need for improved efficiency, we designed the LINK project to build upon and consolidate ongoing and growing collaborations between the clinical and academic settings and leverage statistical, research design, and research project management expertise available at the SON to support clinical nurses in the successful completion of clinical scholarly projects, from conceptualization to dissemination. </w:t>
      </w:r>
    </w:p>
    <w:p w:rsidR="008E7B79" w:rsidRDefault="008E7B79" w:rsidP="008E7B79">
      <w:pPr>
        <w:spacing w:after="0"/>
        <w:jc w:val="both"/>
      </w:pPr>
      <w:r>
        <w:t xml:space="preserve">This was a 1-year feasibility study to assess the impact of the LINK project. Those staffing the project from the SON included a team of doctorally prepared nurse researchers with joint appointments at the SON and the clinical setting and a statistician/ data analyst funded 20% time, who provided expertise to design, plan, implement, and analyze data from clinical projects. The 3 nurse researchers split their work responsibilities, with each 1 working 0.5 full-time equivalent (FTE) for the hospital and 0.5 FTE for the university. Therefore, the LINK project had 1.5 FTE of dedicated hospital-based nurse researcher effort. Operationally, the nurse researchers reported to both the director of research and innovation in the nursing department of the medical center and the dean of research of the SON. An online form was created for nurses to make formal LINK consultation requests and a 2nd online Google spreadsheet was </w:t>
      </w:r>
      <w:r>
        <w:lastRenderedPageBreak/>
        <w:t>used by the LINK team to track and update the status of ongoing projects. After projects from clinical staff were reviewed, the nurse researchers mentored nursing staff members to ensure that proposed project aims were clear and feasible and were compliant with human subjects approval and other administrative issues, that problems and questions were resolved during the project, and that target benchmarks were set and completed. Projects ranged from quantitative research projects, to qualitative research projects, to quality improvement projects. We relied on the</w:t>
      </w:r>
      <w:r w:rsidR="0056729F">
        <w:t xml:space="preserve"> Office for Human Research Protections criteria to determine eligibility for institutional review board (IRB) submission. Traditional quality improvement projects were not usually submitted to the IRB, however, if there were any doubt that nurses were encouraged to submit their project to the IRB for review. After a nurse researcher provided initial consultation, he/she worked with the clinical nurse until the project was completed. Further description of these roles and the activities performed by LINK personnel is provided in Table 1. Depending on the nature and stage of each project or study, LINK consultancies varied from 1 brief meeting to regular meetings for the lifecycle of a research project. Hospital-wide clinical nurses were encouraged to coordinate with their managers to allow for coverage for project-related meetings with nurse researchers.</w:t>
      </w:r>
    </w:p>
    <w:p w:rsidR="0056729F" w:rsidRDefault="0056729F" w:rsidP="008E7B79">
      <w:pPr>
        <w:spacing w:after="0"/>
        <w:jc w:val="both"/>
      </w:pPr>
    </w:p>
    <w:p w:rsidR="0056729F" w:rsidRPr="0056729F" w:rsidRDefault="0056729F" w:rsidP="008E7B79">
      <w:pPr>
        <w:spacing w:after="0"/>
        <w:jc w:val="both"/>
        <w:rPr>
          <w:b/>
          <w:sz w:val="28"/>
          <w:szCs w:val="28"/>
        </w:rPr>
      </w:pPr>
      <w:r w:rsidRPr="0056729F">
        <w:rPr>
          <w:b/>
          <w:sz w:val="28"/>
          <w:szCs w:val="28"/>
        </w:rPr>
        <w:t xml:space="preserve">Project Evaluation </w:t>
      </w:r>
    </w:p>
    <w:p w:rsidR="0056729F" w:rsidRDefault="0056729F" w:rsidP="008E7B79">
      <w:pPr>
        <w:spacing w:after="0"/>
        <w:jc w:val="both"/>
      </w:pPr>
      <w:r>
        <w:t xml:space="preserve">To assess the feasibility and client satisfaction of the LINK project, we conducted a formal evaluation after 1 year of full implementation of the project at 3 of the 6 clinical campuses, including 2 hospitals in 1 of the academic medical centers, a 299-bed children’s hospital and a 745-bed adult hospital, as well as a 300-bed community hospital. </w:t>
      </w:r>
    </w:p>
    <w:p w:rsidR="0056729F" w:rsidRDefault="0056729F" w:rsidP="008E7B79">
      <w:pPr>
        <w:spacing w:after="0"/>
        <w:jc w:val="both"/>
      </w:pPr>
    </w:p>
    <w:p w:rsidR="0056729F" w:rsidRDefault="0056729F" w:rsidP="008E7B79">
      <w:pPr>
        <w:spacing w:after="0"/>
        <w:jc w:val="both"/>
      </w:pPr>
      <w:r>
        <w:t xml:space="preserve">Feasibility studies have many uses; applied in this context, the aim was to determine the initial feasibility of a new initiative9 using a project management assessment framework. In the original framework, project-specific critical success factors and key performance indicators are crucial assessment components. We adapted the model to use the term outcome measures to refer to critical success factors and process measures to refer to key performance indicators. Consistent with this assessment framework, both the outcome and process models were project-specific measures, developed with key stakeholder input. Key stakeholders included the chief nursing executive of the hospital, the dean of the SON, the director of the hospital’s research and innovation, the SON’s dean of research, the dually appointed nurse researchers, and the statistician. </w:t>
      </w:r>
    </w:p>
    <w:p w:rsidR="0056729F" w:rsidRDefault="0056729F" w:rsidP="008E7B79">
      <w:pPr>
        <w:spacing w:after="0"/>
        <w:jc w:val="both"/>
      </w:pPr>
      <w:r>
        <w:t xml:space="preserve">For the LINK project, nurses were encouraged to submit requests when pursuing research as opposed to quality improvement or EBP projects. Process measures were used to assess the procedures internal to the organization, for example, the number of consultative requests received (volume) and average response time. Outcome measures described the products attributable to the consultation itself, for example, a nurse reporting that he/she received the necessary sample size calculation for the proposed study after requesting a biostatistical consultation for a power analysis. As a group, the LINK team set goals for each of the parameters to indicate whether the project was meeting expectations and provide sufficient information to decide whether to continue the initiative. For the purposes of client satisfaction evaluation, projects were stratified by the nature of requests and consultation evaluation forms were requested for each type of request. </w:t>
      </w:r>
    </w:p>
    <w:p w:rsidR="0056729F" w:rsidRDefault="0056729F" w:rsidP="008E7B79">
      <w:pPr>
        <w:spacing w:after="0"/>
        <w:jc w:val="both"/>
      </w:pPr>
      <w:r>
        <w:t xml:space="preserve">Data analysis was built into the initial design of the LINK project. All data collection was electronic. The use of an online form to track LINK clients allowed for seamless export of relevant process data into online spreadsheets. Similarly, programming was imbedded in the online tools used by the LINK team to </w:t>
      </w:r>
      <w:r>
        <w:lastRenderedPageBreak/>
        <w:t>automatically capture measurement data. During data analysis, all of the process measure data were exported to and analyzed and summarized in Microsoft Excel. The consultation evaluation forms were distributed to clients at the beginning of the consultations and participants were asked to return the evaluations by e-mail upon completion of the consultancy. The hospital system tracks nursing-led IRB-approved research protocols. This was assessed pre and post intervention by dividing the preintervention number of protocols by the postintervention number of protocols to assess the percentage change by campus and overall.</w:t>
      </w:r>
    </w:p>
    <w:p w:rsidR="0056729F" w:rsidRDefault="0056729F" w:rsidP="008E7B79">
      <w:pPr>
        <w:spacing w:after="0"/>
        <w:jc w:val="both"/>
      </w:pPr>
    </w:p>
    <w:p w:rsidR="0056729F" w:rsidRDefault="0056729F" w:rsidP="008E7B79">
      <w:pPr>
        <w:spacing w:after="0"/>
        <w:jc w:val="both"/>
      </w:pPr>
      <w:r w:rsidRPr="0056729F">
        <w:rPr>
          <w:b/>
        </w:rPr>
        <w:t>Results</w:t>
      </w:r>
      <w:r>
        <w:t xml:space="preserve"> </w:t>
      </w:r>
    </w:p>
    <w:p w:rsidR="0056729F" w:rsidRDefault="0056729F" w:rsidP="008E7B79">
      <w:pPr>
        <w:spacing w:after="0"/>
        <w:jc w:val="both"/>
      </w:pPr>
    </w:p>
    <w:p w:rsidR="0056729F" w:rsidRDefault="0056729F" w:rsidP="008E7B79">
      <w:pPr>
        <w:spacing w:after="0"/>
        <w:jc w:val="both"/>
      </w:pPr>
      <w:r>
        <w:t xml:space="preserve">During the evaluation year, there were 35 LINK consultation requests. Four requests did not go beyond initial follow-up because they did not meet consultation criteria or they were either informational requests (eg, how do I join the research committee) or were nurses in a doctoral program that had not used the statistical resources at their home educational institution. </w:t>
      </w:r>
    </w:p>
    <w:p w:rsidR="005B7DBB" w:rsidRDefault="0056729F" w:rsidP="008E7B79">
      <w:pPr>
        <w:spacing w:after="0"/>
        <w:jc w:val="both"/>
      </w:pPr>
      <w:r>
        <w:t xml:space="preserve">Most of the 31 consultation requests (90%; n = 28) that went beyond initial follow-up were initiated by clinical nurses; 7% (n = 2), by directors of nursing; and 3% (n = 1), by a chief nursing officer. Of the 28 consultations submitted by clinical nurses, majority (79%; n = 22) were submitted by RNs and the remainder were submitted by nurse practitioners (21%; n = 6). </w:t>
      </w:r>
    </w:p>
    <w:p w:rsidR="0056729F" w:rsidRDefault="005B7DBB" w:rsidP="008E7B79">
      <w:pPr>
        <w:spacing w:after="0"/>
        <w:jc w:val="both"/>
      </w:pPr>
      <w:r>
        <w:t>In addition, many other components, although tenable, are of a tedious nature that are impracticable to measure, such as responding to repeated e-mails on the same subject throughout a day; working on scheduling to arrange meetings between the statistician, researcher, and nurse; booking an available space to conduct a meeting; and others. In the optional comments section of the web-based statistical consultation evaluation form, there was overwhelmingly positive feedback. Below is a typical quote: This consultation was of great value to me in moving our research project to the next level. This consultation provided me education regarding analyzing data and the different types of tests. I look forward to future consultations.</w:t>
      </w:r>
    </w:p>
    <w:p w:rsidR="005B7DBB" w:rsidRDefault="005B7DBB" w:rsidP="008E7B79">
      <w:pPr>
        <w:spacing w:after="0"/>
        <w:jc w:val="both"/>
      </w:pPr>
      <w:r>
        <w:t>During the 1-year period of the feasibility study, nurse-led IRB protocols increased at all of the 3 study campuses; the year previous to the study, there were 3 initiated, as compared to 11 nurse-led studies initiated during our assessment year. Overall, this was an increase of 367% in nurse-led IRB-approved research protocols.</w:t>
      </w:r>
    </w:p>
    <w:p w:rsidR="005B7DBB" w:rsidRDefault="005B7DBB" w:rsidP="008E7B79">
      <w:pPr>
        <w:spacing w:after="0"/>
        <w:jc w:val="both"/>
      </w:pPr>
    </w:p>
    <w:p w:rsidR="00F708F6" w:rsidRDefault="00F708F6" w:rsidP="008E7B79">
      <w:pPr>
        <w:spacing w:after="0"/>
        <w:jc w:val="both"/>
      </w:pPr>
      <w:r w:rsidRPr="00F708F6">
        <w:rPr>
          <w:b/>
          <w:sz w:val="28"/>
          <w:szCs w:val="28"/>
        </w:rPr>
        <w:t>Discussion</w:t>
      </w:r>
      <w:r>
        <w:t xml:space="preserve"> </w:t>
      </w:r>
    </w:p>
    <w:p w:rsidR="00F708F6" w:rsidRDefault="00F708F6" w:rsidP="008E7B79">
      <w:pPr>
        <w:spacing w:after="0"/>
        <w:jc w:val="both"/>
      </w:pPr>
    </w:p>
    <w:p w:rsidR="00F708F6" w:rsidRDefault="00F708F6" w:rsidP="008E7B79">
      <w:pPr>
        <w:spacing w:after="0"/>
        <w:jc w:val="both"/>
      </w:pPr>
      <w:r>
        <w:t xml:space="preserve">The LINK project was designed to provide services to which nurses typically do not have ready access but have been shown to be sought after, such as statistical consulting and expert researcher advice. To sustain a successful clinical nursing research program, we created a single initiative to provide an innovative structure that offers the literature-supported components of expert research, project management, and data analysis. To date, we have not seen other examples of such a pairing in the literature. The aforementioned feedback from a LINK client suggests that nurses not only received answers to their questions but also gained a deeper knowledge of research, evaluation, and dissemination methods. The process and outcome measures indicate that the LINK project is feasible, sustainable, and reproducible. We were able to meet and, in many cases, exceed all of our measurement goals. In addition, implementation science literature indicates that the most valid measure of a successful project rollout is user satisfaction and usefulness,  for which our project </w:t>
      </w:r>
      <w:r>
        <w:lastRenderedPageBreak/>
        <w:t>received consistently positive feedback. A major challenge that will have to be resolved as more nurses conduct research and evaluation is the difference between academic and clinical work life cycle. Although academic research typically takes extended periods, projects in the clinical environment typically last 3 to 12 months. This is a roadblock that persists in the LINK project. The key to identifying a long-term solution will be sustainable methods of support that are available to clinical nurses throughout the entirety of a research project. This will require collaborative and innovative methods of administrative and financial support from both academic and clinical leaders. Implications for Nurse Executives These findings have several implications for nursing leaders. First, academic and clinical practice environments can successfully work together to support clinical nursing research. Second, to sustain a successful clinical nursing research program, a well-coordinated office with structural components including executive level engagement, doctorally prepared nurse researchers, project coordination, and access to academic resources (eg, statistics support, library services, and exposure to ongoing clinical research) is recommended. Finally, the finances to support all of the required structural components should be in place for the entire research life cycle.</w:t>
      </w:r>
    </w:p>
    <w:p w:rsidR="00F708F6" w:rsidRDefault="00F708F6" w:rsidP="008E7B79">
      <w:pPr>
        <w:spacing w:after="0"/>
        <w:jc w:val="both"/>
      </w:pPr>
    </w:p>
    <w:p w:rsidR="00F708F6" w:rsidRDefault="00F708F6" w:rsidP="008E7B79">
      <w:pPr>
        <w:spacing w:after="0"/>
        <w:jc w:val="both"/>
      </w:pPr>
      <w:r w:rsidRPr="00F708F6">
        <w:rPr>
          <w:b/>
          <w:sz w:val="28"/>
          <w:szCs w:val="28"/>
        </w:rPr>
        <w:t>Limitations</w:t>
      </w:r>
      <w:r>
        <w:t xml:space="preserve"> </w:t>
      </w:r>
    </w:p>
    <w:p w:rsidR="00F708F6" w:rsidRDefault="00F708F6" w:rsidP="008E7B79">
      <w:pPr>
        <w:spacing w:after="0"/>
        <w:jc w:val="both"/>
      </w:pPr>
    </w:p>
    <w:p w:rsidR="00F708F6" w:rsidRDefault="00F708F6" w:rsidP="008E7B79">
      <w:pPr>
        <w:spacing w:after="0"/>
        <w:jc w:val="both"/>
      </w:pPr>
      <w:r>
        <w:t>This study has some of the limitations that are common to small feasibility studies. First, until future work is conducted in other settings with varying resources and associations, the findings can only be compared with similar settings with similar resources. Second, the lack of blinding or evaluation anonymity could lead to social desirability bias. Third, our capture of consultative requests failed to account for all requests because nurses would seek and receive guidance in a variety of venues, for example, before, during, and after hospitalbased nursing research committee meetings, during office hours, nonscheduled telephone calls, e-mails, and others. However, every effort was made by LINK members to guide nurses to the online consultation request form. In addition, as aforementioned, some study measures proved difficult to measure, such as the number of consultative requests received and the amount of time spent on each project by the jointly appointed nurse researchers. Although these limitations must be taken into consideration, they are factored into the design of feasibility studies whose main goal is to assess if the initiative can be successfully performed on an organizational level.</w:t>
      </w:r>
    </w:p>
    <w:p w:rsidR="00F708F6" w:rsidRDefault="00F708F6" w:rsidP="008E7B79">
      <w:pPr>
        <w:spacing w:after="0"/>
        <w:jc w:val="both"/>
      </w:pPr>
    </w:p>
    <w:p w:rsidR="00F708F6" w:rsidRPr="00F708F6" w:rsidRDefault="00F708F6" w:rsidP="008E7B79">
      <w:pPr>
        <w:spacing w:after="0"/>
        <w:jc w:val="both"/>
        <w:rPr>
          <w:b/>
        </w:rPr>
      </w:pPr>
      <w:r w:rsidRPr="00F708F6">
        <w:rPr>
          <w:b/>
        </w:rPr>
        <w:t xml:space="preserve">Conclusion </w:t>
      </w:r>
    </w:p>
    <w:p w:rsidR="00F708F6" w:rsidRDefault="00F708F6" w:rsidP="008E7B79">
      <w:pPr>
        <w:spacing w:after="0"/>
        <w:jc w:val="both"/>
      </w:pPr>
    </w:p>
    <w:p w:rsidR="00F708F6" w:rsidRDefault="00F708F6" w:rsidP="008E7B79">
      <w:pPr>
        <w:spacing w:after="0"/>
        <w:jc w:val="both"/>
      </w:pPr>
      <w:r>
        <w:t>Nursing research is a critical step in the pursuit of improved patient outcomes and a more autonomous nursing practice. Although making research a priority in an institution has become increasingly common, finding realistic mechanisms to address this need remains a challenge globally. Moreover, bridging the gap between academic research and critical practice is essential to providing timely translational research. Innovation and collaboration are needed to achieve a closer relationship between academic and clinical nursing, resulting in increased nursing research, a robust evidence base, and, ultimately, improved patient outcomes. As hospitals look to demonstrate nursing excellence, building a collaborative research environment and a culture of inquiry is critical. The LINK project provides an example of a feasible initiative that helps to build sustainable, scalable mechanisms for clinical nursing research and evaluation.</w:t>
      </w:r>
    </w:p>
    <w:p w:rsidR="00F708F6" w:rsidRDefault="00F708F6" w:rsidP="008E7B79">
      <w:pPr>
        <w:spacing w:after="0"/>
        <w:jc w:val="both"/>
      </w:pPr>
    </w:p>
    <w:p w:rsidR="00F708F6" w:rsidRDefault="00F708F6" w:rsidP="008E7B79">
      <w:pPr>
        <w:spacing w:after="0"/>
        <w:jc w:val="both"/>
      </w:pPr>
    </w:p>
    <w:p w:rsidR="00F708F6" w:rsidRDefault="00F708F6" w:rsidP="008E7B79">
      <w:pPr>
        <w:spacing w:after="0"/>
        <w:jc w:val="both"/>
        <w:rPr>
          <w:b/>
        </w:rPr>
      </w:pPr>
      <w:r w:rsidRPr="00F708F6">
        <w:rPr>
          <w:b/>
        </w:rPr>
        <w:lastRenderedPageBreak/>
        <w:t xml:space="preserve">References </w:t>
      </w:r>
    </w:p>
    <w:p w:rsidR="00F708F6" w:rsidRDefault="00F708F6" w:rsidP="008E7B79">
      <w:pPr>
        <w:spacing w:after="0"/>
        <w:jc w:val="both"/>
        <w:rPr>
          <w:b/>
        </w:rPr>
      </w:pPr>
    </w:p>
    <w:p w:rsidR="00F708F6" w:rsidRDefault="00F708F6" w:rsidP="008E7B79">
      <w:pPr>
        <w:spacing w:after="0"/>
        <w:jc w:val="both"/>
      </w:pPr>
      <w:r w:rsidRPr="00F708F6">
        <w:t xml:space="preserve">1. Cimiotti JP, Quinlan PM, Larson EL, Pastor DK, Lin SX, Stone PW. The Magnet process and the perceived work environment of nurses. Nurs Res. 2005;54:384-390. doi:10.1097/00006199- 200511000-00004. </w:t>
      </w:r>
    </w:p>
    <w:p w:rsidR="00F708F6" w:rsidRDefault="00F708F6" w:rsidP="008E7B79">
      <w:pPr>
        <w:spacing w:after="0"/>
        <w:jc w:val="both"/>
      </w:pPr>
      <w:r w:rsidRPr="00F708F6">
        <w:t xml:space="preserve">2. Powell K. Nursing research: nurses know best. Nature. 2015;522:507-509. doi:10.1038/nj7557-507a. </w:t>
      </w:r>
    </w:p>
    <w:p w:rsidR="00F708F6" w:rsidRDefault="00F708F6" w:rsidP="008E7B79">
      <w:pPr>
        <w:spacing w:after="0"/>
        <w:jc w:val="both"/>
      </w:pPr>
    </w:p>
    <w:p w:rsidR="00F708F6" w:rsidRDefault="00F708F6" w:rsidP="008E7B79">
      <w:pPr>
        <w:spacing w:after="0"/>
        <w:jc w:val="both"/>
      </w:pPr>
      <w:r w:rsidRPr="00F708F6">
        <w:t xml:space="preserve">3. Sun C, Dlamini PS, Maimbolwa MC, et al. Success stories: overcoming barriers to research in southern and eastern African countries. Clin Nurs Res. 2017;26:399-418. doi:10.1177/ 1054773817718935. </w:t>
      </w:r>
    </w:p>
    <w:p w:rsidR="00F708F6" w:rsidRDefault="00F708F6" w:rsidP="008E7B79">
      <w:pPr>
        <w:spacing w:after="0"/>
        <w:jc w:val="both"/>
      </w:pPr>
    </w:p>
    <w:p w:rsidR="00F708F6" w:rsidRDefault="00F708F6" w:rsidP="008E7B79">
      <w:pPr>
        <w:spacing w:after="0"/>
        <w:jc w:val="both"/>
      </w:pPr>
      <w:r w:rsidRPr="00F708F6">
        <w:t xml:space="preserve">4. Al Touby S, Larson E, Noureddine S, Altaweli R, Al E, El NAA, Fathy N, Abubakar F, Hussein R, Building EvidenceBased Practice in Resource Limited Settings: Exemplars of Success. 2017. </w:t>
      </w:r>
    </w:p>
    <w:p w:rsidR="00F708F6" w:rsidRDefault="00F708F6" w:rsidP="008E7B79">
      <w:pPr>
        <w:spacing w:after="0"/>
        <w:jc w:val="both"/>
      </w:pPr>
    </w:p>
    <w:p w:rsidR="00F708F6" w:rsidRDefault="00F708F6" w:rsidP="008E7B79">
      <w:pPr>
        <w:spacing w:after="0"/>
        <w:jc w:val="both"/>
      </w:pPr>
      <w:r w:rsidRPr="00F708F6">
        <w:t xml:space="preserve">5. Grobbel C, Penprase B, VanWagoner K. Bridging the quality and nursing care gap: Innovative clinical and academic partnership using the relationship-based care theoretical framework. Nurse Lead. 2015;13:80-83. doi:10.1016/j.mnl.2015.01.017. </w:t>
      </w:r>
    </w:p>
    <w:p w:rsidR="00F708F6" w:rsidRDefault="00F708F6" w:rsidP="008E7B79">
      <w:pPr>
        <w:spacing w:after="0"/>
        <w:jc w:val="both"/>
      </w:pPr>
    </w:p>
    <w:p w:rsidR="00F708F6" w:rsidRDefault="00F708F6" w:rsidP="008E7B79">
      <w:pPr>
        <w:spacing w:after="0"/>
        <w:jc w:val="both"/>
      </w:pPr>
      <w:r w:rsidRPr="00F708F6">
        <w:t xml:space="preserve">6. American Academy of Colleges of Nursing (AACN). Advancing healthcare transformation: a new era for academic nursing, 2016. </w:t>
      </w:r>
    </w:p>
    <w:p w:rsidR="00F708F6" w:rsidRDefault="00F708F6" w:rsidP="008E7B79">
      <w:pPr>
        <w:spacing w:after="0"/>
        <w:jc w:val="both"/>
      </w:pPr>
    </w:p>
    <w:p w:rsidR="00F708F6" w:rsidRDefault="00F708F6" w:rsidP="008E7B79">
      <w:pPr>
        <w:spacing w:after="0"/>
        <w:jc w:val="both"/>
      </w:pPr>
      <w:r w:rsidRPr="00F708F6">
        <w:t xml:space="preserve">7. Carter EJ, Mastro K, Vose C, Rivera R, Larson EL. Clarifying the conundrum: evidence-based practice, quality improvement, or research?: the clinical scholarship continuum. J Nurs Adm. 2017;47(5):266-270. doi:10.1097/NNA.0000000000000477. </w:t>
      </w:r>
    </w:p>
    <w:p w:rsidR="00F708F6" w:rsidRDefault="00F708F6" w:rsidP="008E7B79">
      <w:pPr>
        <w:spacing w:after="0"/>
        <w:jc w:val="both"/>
      </w:pPr>
    </w:p>
    <w:p w:rsidR="00F708F6" w:rsidRDefault="00F708F6" w:rsidP="008E7B79">
      <w:pPr>
        <w:spacing w:after="0"/>
        <w:jc w:val="both"/>
      </w:pPr>
      <w:r>
        <w:t>8</w:t>
      </w:r>
      <w:r w:rsidRPr="00F708F6">
        <w:t xml:space="preserve">. Arain M, Campbell MJ, Cooper CL, Lancaster GA. What is a pilot or feasibility study? A review of current practice and editorial policy. BMC Med Res Methodol. 2010;10:67. doi:10. 1186/1471-2288-10-67. </w:t>
      </w:r>
    </w:p>
    <w:p w:rsidR="00F708F6" w:rsidRDefault="00F708F6" w:rsidP="008E7B79">
      <w:pPr>
        <w:spacing w:after="0"/>
        <w:jc w:val="both"/>
      </w:pPr>
    </w:p>
    <w:p w:rsidR="00F708F6" w:rsidRDefault="00F708F6" w:rsidP="008E7B79">
      <w:pPr>
        <w:spacing w:after="0"/>
        <w:jc w:val="both"/>
      </w:pPr>
      <w:r>
        <w:t>9</w:t>
      </w:r>
      <w:r w:rsidRPr="00F708F6">
        <w:t xml:space="preserve">. Kerzner H. Project Management Metrics, KPIs, and Dashboards: A Guide to Measuring and Monitoring Project Performance. John Wiley &amp; Sons; 2017. </w:t>
      </w:r>
    </w:p>
    <w:p w:rsidR="00F708F6" w:rsidRDefault="00F708F6" w:rsidP="008E7B79">
      <w:pPr>
        <w:spacing w:after="0"/>
        <w:jc w:val="both"/>
      </w:pPr>
    </w:p>
    <w:p w:rsidR="00F708F6" w:rsidRDefault="00F708F6" w:rsidP="008E7B79">
      <w:pPr>
        <w:spacing w:after="0"/>
        <w:jc w:val="both"/>
      </w:pPr>
      <w:r>
        <w:t>10</w:t>
      </w:r>
      <w:r w:rsidRPr="00F708F6">
        <w:t xml:space="preserve">. Brown CE, Wickline MA, Ecoff L, Glaser D. Nursing practice, knowledge, attitudes and perceived barriers to evidencebased practice at an academic medical center. J Adv Nurs. 2009;65:371-381. </w:t>
      </w:r>
    </w:p>
    <w:p w:rsidR="00F708F6" w:rsidRDefault="00F708F6" w:rsidP="008E7B79">
      <w:pPr>
        <w:spacing w:after="0"/>
        <w:jc w:val="both"/>
      </w:pPr>
    </w:p>
    <w:p w:rsidR="00F708F6" w:rsidRDefault="00F708F6" w:rsidP="008E7B79">
      <w:pPr>
        <w:spacing w:after="0"/>
        <w:jc w:val="both"/>
      </w:pPr>
      <w:r>
        <w:t>11</w:t>
      </w:r>
      <w:r w:rsidRPr="00F708F6">
        <w:t xml:space="preserve">. Melnyk BM, Fineout-Overholt E, Gallagher-Ford L, Kaplan L. The state of evidence-based practice in US nurses: critical implications for nurse leaders and educators. J Nurs Adm. 2012;42(9):410-417. </w:t>
      </w:r>
    </w:p>
    <w:p w:rsidR="00F708F6" w:rsidRDefault="00F708F6" w:rsidP="008E7B79">
      <w:pPr>
        <w:spacing w:after="0"/>
        <w:jc w:val="both"/>
      </w:pPr>
    </w:p>
    <w:p w:rsidR="00F708F6" w:rsidRDefault="00F708F6" w:rsidP="008E7B79">
      <w:pPr>
        <w:spacing w:after="0"/>
        <w:jc w:val="both"/>
      </w:pPr>
      <w:r>
        <w:t>12</w:t>
      </w:r>
      <w:r w:rsidRPr="00F708F6">
        <w:t xml:space="preserve">. Scala E, Price C, Day J. An integrative review of engaging clinical nurses in nursing research. J Nurs Scholarsh. 2016;48:423-430. doi:10.1111/jnu.12223. </w:t>
      </w:r>
    </w:p>
    <w:p w:rsidR="00F708F6" w:rsidRDefault="00F708F6" w:rsidP="008E7B79">
      <w:pPr>
        <w:spacing w:after="0"/>
        <w:jc w:val="both"/>
      </w:pPr>
    </w:p>
    <w:p w:rsidR="00F708F6" w:rsidRPr="00F708F6" w:rsidRDefault="00F708F6" w:rsidP="008E7B79">
      <w:pPr>
        <w:spacing w:after="0"/>
        <w:jc w:val="both"/>
      </w:pPr>
      <w:r>
        <w:t>13</w:t>
      </w:r>
      <w:r w:rsidRPr="00F708F6">
        <w:t>. Davis FD. Perceived usefulness, perceived ease of use, and user acceptance of information technology. MIS Q. 1989; 319-340.</w:t>
      </w:r>
    </w:p>
    <w:sectPr w:rsidR="00F708F6" w:rsidRPr="00F708F6" w:rsidSect="00393A3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8E7B79"/>
    <w:rsid w:val="000200EA"/>
    <w:rsid w:val="00393A35"/>
    <w:rsid w:val="0056729F"/>
    <w:rsid w:val="005B7DBB"/>
    <w:rsid w:val="008E7B79"/>
    <w:rsid w:val="00F708F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3A35"/>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283</TotalTime>
  <Pages>6</Pages>
  <Words>2941</Words>
  <Characters>16764</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Bappa Nandi</dc:creator>
  <cp:lastModifiedBy>Bappa Nandi</cp:lastModifiedBy>
  <cp:revision>5</cp:revision>
  <dcterms:created xsi:type="dcterms:W3CDTF">2020-05-29T05:38:00Z</dcterms:created>
  <dcterms:modified xsi:type="dcterms:W3CDTF">2020-05-29T10:21:00Z</dcterms:modified>
</cp:coreProperties>
</file>