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00000" w:rsidRDefault="009E4FDE">
      <w:pPr>
        <w:rPr>
          <w:b/>
          <w:sz w:val="32"/>
          <w:szCs w:val="32"/>
        </w:rPr>
      </w:pPr>
      <w:r w:rsidRPr="009E4FDE">
        <w:rPr>
          <w:b/>
          <w:sz w:val="32"/>
          <w:szCs w:val="32"/>
        </w:rPr>
        <w:t>Residual neuromuscular blockade and postoperative critical respiratory events: literature review</w:t>
      </w:r>
    </w:p>
    <w:p w:rsidR="009E4FDE" w:rsidRDefault="009E4FDE">
      <w:pPr>
        <w:rPr>
          <w:sz w:val="24"/>
          <w:szCs w:val="24"/>
        </w:rPr>
      </w:pPr>
      <w:r w:rsidRPr="009E4FDE">
        <w:rPr>
          <w:sz w:val="24"/>
          <w:szCs w:val="24"/>
        </w:rPr>
        <w:t>Panagiotis Kiekkas</w:t>
      </w:r>
      <w:r>
        <w:rPr>
          <w:sz w:val="24"/>
          <w:szCs w:val="24"/>
        </w:rPr>
        <w:t>*</w:t>
      </w:r>
      <w:r w:rsidRPr="009E4FDE">
        <w:rPr>
          <w:sz w:val="24"/>
          <w:szCs w:val="24"/>
        </w:rPr>
        <w:t>, Nick Bakalis, Nikolaos Stefanopoulos, Evangelos Konstantinou and Diamanto Aretha</w:t>
      </w:r>
    </w:p>
    <w:p w:rsidR="009E4FDE" w:rsidRDefault="009E4FDE" w:rsidP="009E4FDE">
      <w:pPr>
        <w:jc w:val="both"/>
        <w:rPr>
          <w:sz w:val="24"/>
          <w:szCs w:val="24"/>
        </w:rPr>
      </w:pPr>
      <w:r w:rsidRPr="009E4FDE">
        <w:rPr>
          <w:b/>
          <w:sz w:val="24"/>
          <w:szCs w:val="24"/>
        </w:rPr>
        <w:t>Authors</w:t>
      </w:r>
      <w:r w:rsidRPr="009E4FDE">
        <w:rPr>
          <w:sz w:val="24"/>
          <w:szCs w:val="24"/>
        </w:rPr>
        <w:t xml:space="preserve">: Panagiotis Kiekkas, PhD, RN, Assistant Professor, Nursing Department, Technological Educational Institute of Western Greece, Patras; Nick Bakalis, PhD, RN, Assistant Professor, Nursing Department, Technological Educational Institute of Western Greece, Patras; Nikolaos Stefanopoulos, PhD, RN, Assistant Professor, Nursing Department, Technological Educational Institute of Western Greece, Patras; Evangelos Konstantinou, PhD, RN, Associate Professor in Nurse Anesthesia, Nursing Department, National and Kapodistrian Athens University, Athens; Diamanto Aretha, MD, PhD, Anesthesiology Consultant, Anesthesiology Department, General Hospital of Pyrgos, Pyrgos, Greece. </w:t>
      </w:r>
    </w:p>
    <w:p w:rsidR="009E4FDE" w:rsidRDefault="009E4FDE" w:rsidP="009E4FDE">
      <w:pPr>
        <w:jc w:val="both"/>
        <w:rPr>
          <w:sz w:val="24"/>
          <w:szCs w:val="24"/>
        </w:rPr>
      </w:pPr>
      <w:r>
        <w:rPr>
          <w:sz w:val="24"/>
          <w:szCs w:val="24"/>
        </w:rPr>
        <w:t>*</w:t>
      </w:r>
      <w:r w:rsidRPr="009E4FDE">
        <w:rPr>
          <w:sz w:val="24"/>
          <w:szCs w:val="24"/>
        </w:rPr>
        <w:t xml:space="preserve">Correspondence: Panagiotis Kiekkas, Assistant Professor, 76 Stratigou Konstantinopoulou Street, Aroi, Patras 263-31, Greece. Telephone: +30 2610 274789. E-mail: </w:t>
      </w:r>
      <w:hyperlink r:id="rId4" w:history="1">
        <w:r w:rsidRPr="004727BC">
          <w:rPr>
            <w:rStyle w:val="Hyperlink"/>
            <w:sz w:val="24"/>
            <w:szCs w:val="24"/>
          </w:rPr>
          <w:t>kiekkpan@otenet.gr</w:t>
        </w:r>
      </w:hyperlink>
    </w:p>
    <w:p w:rsidR="009E4FDE" w:rsidRDefault="009E4FDE" w:rsidP="009E4FDE">
      <w:pPr>
        <w:jc w:val="both"/>
        <w:rPr>
          <w:b/>
          <w:sz w:val="28"/>
          <w:szCs w:val="28"/>
        </w:rPr>
      </w:pPr>
      <w:r w:rsidRPr="009E4FDE">
        <w:rPr>
          <w:b/>
          <w:sz w:val="28"/>
          <w:szCs w:val="28"/>
        </w:rPr>
        <w:t>Abstract</w:t>
      </w:r>
    </w:p>
    <w:p w:rsidR="009E4FDE" w:rsidRDefault="009E4FDE" w:rsidP="009E4FDE">
      <w:pPr>
        <w:jc w:val="both"/>
      </w:pPr>
      <w:r w:rsidRPr="009E4FDE">
        <w:rPr>
          <w:b/>
        </w:rPr>
        <w:t>Aims and objectives.</w:t>
      </w:r>
      <w:r>
        <w:t xml:space="preserve"> To investigate and synthesise published literature on the associations between residual neuromuscular blockade and critical respiratory events of postoperative adult patients in the postanaesthesia care unit. </w:t>
      </w:r>
    </w:p>
    <w:p w:rsidR="009E4FDE" w:rsidRDefault="009E4FDE" w:rsidP="009E4FDE">
      <w:pPr>
        <w:jc w:val="both"/>
      </w:pPr>
      <w:r w:rsidRPr="009E4FDE">
        <w:rPr>
          <w:b/>
        </w:rPr>
        <w:t>Background.</w:t>
      </w:r>
      <w:r>
        <w:t xml:space="preserve"> Residual neuromuscular blockade continues to be common among patients transferred to the postanaesthesia care unit after general anaesthesia, while negative effects of residual neuromuscular blockade on respiratory function have been demonstrated in laboratory volunteers. </w:t>
      </w:r>
    </w:p>
    <w:p w:rsidR="009E4FDE" w:rsidRDefault="009E4FDE" w:rsidP="009E4FDE">
      <w:pPr>
        <w:jc w:val="both"/>
      </w:pPr>
      <w:r w:rsidRPr="009E4FDE">
        <w:rPr>
          <w:b/>
        </w:rPr>
        <w:t>Design.</w:t>
      </w:r>
      <w:r>
        <w:t xml:space="preserve"> Literature review. </w:t>
      </w:r>
    </w:p>
    <w:p w:rsidR="009E4FDE" w:rsidRDefault="009E4FDE" w:rsidP="009E4FDE">
      <w:pPr>
        <w:jc w:val="both"/>
      </w:pPr>
      <w:r w:rsidRPr="009E4FDE">
        <w:rPr>
          <w:b/>
        </w:rPr>
        <w:t>Methods.</w:t>
      </w:r>
      <w:r>
        <w:t xml:space="preserve"> Using key terms, a search was conducted in Cumulative Index for Nursing and Allied Health Literature, PubMed, Web of Science, Cochrane Database and EMBASE (January 1990–May 2013) for clinical trials or observational studies on the associations between residual neuromuscular blockade and critical respiratory events, published in English-language journals. </w:t>
      </w:r>
    </w:p>
    <w:p w:rsidR="009E4FDE" w:rsidRDefault="009E4FDE" w:rsidP="009E4FDE">
      <w:pPr>
        <w:jc w:val="both"/>
      </w:pPr>
      <w:r w:rsidRPr="009E4FDE">
        <w:rPr>
          <w:b/>
        </w:rPr>
        <w:t>Results.</w:t>
      </w:r>
      <w:r>
        <w:t xml:space="preserve"> Nine articles met the inclusion criteria. Residual neuromuscular blockade definition threshold differed between studies. Among critical respiratory events, only hypoxaemia was investigated in all included studies. Residual neuromuscular blockade was significantly associated with increased incidence of hypoxaemia during postanaesthesia care unit stay in most studies, while associations with the rest of the critical respiratory events were inconclusive. </w:t>
      </w:r>
    </w:p>
    <w:p w:rsidR="009E4FDE" w:rsidRDefault="009E4FDE" w:rsidP="009E4FDE">
      <w:pPr>
        <w:jc w:val="both"/>
      </w:pPr>
      <w:r w:rsidRPr="009E4FDE">
        <w:rPr>
          <w:b/>
        </w:rPr>
        <w:t>Conclusions.</w:t>
      </w:r>
      <w:r>
        <w:t xml:space="preserve"> Although limited, existing research has provided evidence that patients with residual neuromuscular blockade are at high risk of early postoperative hypoxaemia. Further studies are needed </w:t>
      </w:r>
      <w:r>
        <w:lastRenderedPageBreak/>
        <w:t>to investigate independent associations between residual neuromuscular blockade and critical respiratory events, along with causality of these associations. The clinical importance of residual neuromuscular blockade for groups at high risk of critical respiratory events should also be investigated.</w:t>
      </w:r>
    </w:p>
    <w:p w:rsidR="009E4FDE" w:rsidRDefault="009E4FDE" w:rsidP="009E4FDE">
      <w:pPr>
        <w:jc w:val="both"/>
      </w:pPr>
      <w:r w:rsidRPr="009E4FDE">
        <w:rPr>
          <w:b/>
        </w:rPr>
        <w:t xml:space="preserve"> Relevance to clinical practice.</w:t>
      </w:r>
      <w:r>
        <w:t xml:space="preserve"> Healthcare professionals have to be aware of the increased risk of hypoxaemia in patients with residual neuromuscular blockade. Efforts to decrease residual neuromuscular blockade incidence, combined with identification and appropriate evaluation of patients with residual neuromuscular blockade during postanaesthesia care unit stay, are recommended.</w:t>
      </w:r>
    </w:p>
    <w:p w:rsidR="009E4FDE" w:rsidRDefault="009E4FDE" w:rsidP="009E4FDE">
      <w:pPr>
        <w:jc w:val="both"/>
      </w:pPr>
      <w:r w:rsidRPr="009E4FDE">
        <w:rPr>
          <w:b/>
        </w:rPr>
        <w:t>Key words:</w:t>
      </w:r>
      <w:r>
        <w:t xml:space="preserve"> airway obstruction, airway support, critical respiratory events, hypoxaemia, literature review, postanaesthesia care unit, postoperative patients, residual neuromuscular blockade</w:t>
      </w:r>
    </w:p>
    <w:p w:rsidR="009E4FDE" w:rsidRDefault="009E4FDE" w:rsidP="009E4FDE">
      <w:pPr>
        <w:jc w:val="both"/>
        <w:rPr>
          <w:b/>
          <w:sz w:val="28"/>
          <w:szCs w:val="28"/>
        </w:rPr>
      </w:pPr>
      <w:r w:rsidRPr="009E4FDE">
        <w:rPr>
          <w:b/>
          <w:sz w:val="28"/>
          <w:szCs w:val="28"/>
        </w:rPr>
        <w:t>Introduction</w:t>
      </w:r>
    </w:p>
    <w:p w:rsidR="009E4FDE" w:rsidRDefault="009E4FDE" w:rsidP="009E4FDE">
      <w:pPr>
        <w:jc w:val="both"/>
      </w:pPr>
      <w:r>
        <w:t xml:space="preserve">During the early postoperative period, patients are at high risk of adverse events associated with anaesthetic or surgical procedures (Buhre &amp; Rossaint 2003). In this context, the widespread establishment of postanaesthesia care unit (PACU) areas intended to the provision of specialised care, which could minimise morbidity and mortality by preventing or timely detecting adverse events (Barone et al. 2003). At the same time, identification of factors predisposing to adverse postoperative events has been a research priority for healthcare professionals employed in surgical settings. </w:t>
      </w:r>
    </w:p>
    <w:p w:rsidR="009E4FDE" w:rsidRDefault="009E4FDE" w:rsidP="009E4FDE">
      <w:pPr>
        <w:jc w:val="both"/>
      </w:pPr>
      <w:r>
        <w:t>The incidence of critical respiratory events (CREs) during recovery from general anaesthesia varies widely among observati</w:t>
      </w:r>
      <w:r w:rsidR="006B6BFB">
        <w:t>onal studies, ranging between 1.</w:t>
      </w:r>
      <w:r>
        <w:t xml:space="preserve">3–43% during PACU stay (Hines et al. 1992, Rose et al. 1994, Kluger &amp; Bullock 2002). CREs constitute a primary safety concern, as these are followed by increased risk of re-intubation, cardiac complications and unanticipated admission to the intensive care unit, increased workload for nursing personnel and prolonged PACU stay (Rose et al. 1994, Cohen et al. 1999, Watson 2002). Patient, surgical and anaesthetic factors contribute to increased risk of CREs, mainly preexisting respiratory disorders, emergency procedures, long operation duration and intraoperative use of specific anaesthetic drugs (Rose et al. 1994, Watson 2002). </w:t>
      </w:r>
    </w:p>
    <w:p w:rsidR="009E4FDE" w:rsidRDefault="009E4FDE" w:rsidP="009E4FDE">
      <w:pPr>
        <w:jc w:val="both"/>
      </w:pPr>
      <w:r>
        <w:t xml:space="preserve">Hypoxaemia refers to decreased oxygen partial pressure of arterial blood and decreased oxygen saturation of arterial blood haemoglobin and has been the most commonly reported postoperative CRE (Rose et al. 1994, O’Reilly 2000). Perioperative routine use of pulse oximetry has considerably decreased, but not eliminated hypoxaemic episodes (Pedersen et al. 2009). Patients being at high risk of hypoxaemia include those with limited cardiorespiratory reserve, such as obese or heavy smokers, and patients at extremes of age or pregnancy. These patient groups are also particularly susceptible to the adverse effects of severe or prolonged hypoxaemia, such as decreased resistance to infections, impaired cognitive function, cardiac arrhythmias and pulmonary hypertension (O’Reilly 2000, Noble 2003). </w:t>
      </w:r>
      <w:r w:rsidRPr="009E4FDE">
        <w:t xml:space="preserve">Besides hypoxaemia, postoperative hypoventilation and respiratory depression are usually attributed to anaesthetic drugs affecting central respiratory drive (Nicholau 2010), while upper airway obstruction can be due to a variety of causes, such as tongue falling back against the posterior pharynx, laryngospasm, bronchospasm, laryngeal oedema or bleeding, secretions and depressed level of consciousness (Hillman et al. 2003, Scott 2012). </w:t>
      </w:r>
    </w:p>
    <w:p w:rsidR="009E4FDE" w:rsidRDefault="009E4FDE" w:rsidP="009E4FDE">
      <w:pPr>
        <w:jc w:val="both"/>
      </w:pPr>
      <w:r w:rsidRPr="009E4FDE">
        <w:lastRenderedPageBreak/>
        <w:t xml:space="preserve">Neuromuscular blocking drugs are widely used during general anaesthesia to facilitate tracheal intubation and maintain adequate muscle paresis according to surgical procedure needs (Claudius et al. 2009). After the end of the operation, reinstatement of spontaneous ventilation and tracheal extubation requires the dissipation of neuromuscular blockade. However, despite the use of intermediate- or short-acting nondepolarising agents and the pharmacological reversal of their action, along with monitoring of neuromuscular function, complete neuromuscular recovery is rarely present at the time of tracheal extubation (Murphy et al. 2005, Naguib et al. 2007). Therefore, an alarmingly high incidence of residual neuromuscular blockade (RNB) continues to be documented among PACU patients (Debaene et al. 2003, Naguib et al. 2007, Tsai et al. 2008). </w:t>
      </w:r>
    </w:p>
    <w:p w:rsidR="009E4FDE" w:rsidRDefault="009E4FDE" w:rsidP="009E4FDE">
      <w:pPr>
        <w:jc w:val="both"/>
      </w:pPr>
      <w:r w:rsidRPr="009E4FDE">
        <w:t>Clinical tests are often used for evaluating RNB of postoperative patients. Among them, the five-second head lift has been considered the standard method, although the ability to oppose the incisor teeth against a tongue depressor is a more reliable indicator of pharyngeal muscle tone (Nicholau 2010). Unfortunately, clinical tests have been proved to be of little value in diagnosing residual paresis as, even when these are successfully performed, a degree of RNB cannot be excluded (Eikermann et al. 2003). RNB can be validly detected by the use of neuromuscular monitoring. Today, a train</w:t>
      </w:r>
      <w:r w:rsidR="006B6BFB">
        <w:t>-of-four (TOF) fade ratio of ≥0.</w:t>
      </w:r>
      <w:r w:rsidRPr="009E4FDE">
        <w:t xml:space="preserve">9 at the adductor pollicis has been considered the gold standard for defining acceptable neuromuscular recovery (Murphy 2006). </w:t>
      </w:r>
    </w:p>
    <w:p w:rsidR="009E4FDE" w:rsidRDefault="009E4FDE" w:rsidP="009E4FDE">
      <w:pPr>
        <w:jc w:val="both"/>
      </w:pPr>
      <w:r w:rsidRPr="009E4FDE">
        <w:t>In clinical practice, TOF ratios are usually measured by conventional qualitative monitoring, that is, tactile or visual assessment of peripheral nerve stimulation. Alternatively, acceleromyography has been the most commonly</w:t>
      </w:r>
      <w:r>
        <w:t xml:space="preserve"> applied method of quantitative monitoring, which provides more objective measurements of neuromuscular function (Murphy 2006). In laboratory investigations conducted on volunteer subjects, even small</w:t>
      </w:r>
      <w:r w:rsidR="006B6BFB">
        <w:t xml:space="preserve"> degrees of RNB (TOF ratio of 0.7–0.</w:t>
      </w:r>
      <w:r>
        <w:t>9) have been associated with profound muscle weakness, pharyngeal dysfunction contributing to upper airway obstruction, impaired hypoxic ventilatory response and airway reflexes, and increased risk of aspiration (Sundman et al. 2000, Eikermann et al. 2003, Eikermann et al. 2007). In addition, a recent clinical study reported that RNB affected pulmonary function of patients, by decreasing forced vital capacity and peak expiratory flow in the immediate postoperative period (Kumar et al. 2012). It seems therefore plausible that RNB could contribute to increased risk of CREs in postoperative patients, who not only are older and sicker in general than healthy volunteers, but also receive anaesthetic drugs that suppress respiratory function (Murphy 2006). On the other hand, it has been stated that, as CREs are relatively rare and RNB symptoms are mild and self-limiting, the majority of patients might tolerate RNB without untoward effects (Kopman 2008, Claudius et al. 2009).</w:t>
      </w:r>
    </w:p>
    <w:p w:rsidR="009E4FDE" w:rsidRPr="009E4FDE" w:rsidRDefault="009E4FDE" w:rsidP="009E4FDE">
      <w:pPr>
        <w:jc w:val="both"/>
        <w:rPr>
          <w:b/>
          <w:sz w:val="28"/>
          <w:szCs w:val="28"/>
        </w:rPr>
      </w:pPr>
      <w:r w:rsidRPr="009E4FDE">
        <w:rPr>
          <w:b/>
          <w:sz w:val="28"/>
          <w:szCs w:val="28"/>
        </w:rPr>
        <w:t xml:space="preserve">Aims </w:t>
      </w:r>
    </w:p>
    <w:p w:rsidR="009E4FDE" w:rsidRDefault="009E4FDE" w:rsidP="009E4FDE">
      <w:pPr>
        <w:jc w:val="both"/>
      </w:pPr>
      <w:r>
        <w:t>The aims of this literature review were to: (1) investigate, evaluate and synthesise the existing empirical evidence on the association between RNB and the occurrence of CREs in adult, postoperative patients during PACU stay, and (2) provide recommendations for clinical practice and future research with regard to this association.</w:t>
      </w:r>
    </w:p>
    <w:p w:rsidR="009E4FDE" w:rsidRDefault="009E4FDE" w:rsidP="009E4FDE">
      <w:pPr>
        <w:jc w:val="both"/>
      </w:pPr>
    </w:p>
    <w:p w:rsidR="009E4FDE" w:rsidRPr="009E4FDE" w:rsidRDefault="009E4FDE" w:rsidP="009E4FDE">
      <w:pPr>
        <w:jc w:val="both"/>
        <w:rPr>
          <w:b/>
          <w:sz w:val="28"/>
          <w:szCs w:val="28"/>
        </w:rPr>
      </w:pPr>
      <w:r w:rsidRPr="009E4FDE">
        <w:rPr>
          <w:b/>
          <w:sz w:val="28"/>
          <w:szCs w:val="28"/>
        </w:rPr>
        <w:lastRenderedPageBreak/>
        <w:t xml:space="preserve">Methods </w:t>
      </w:r>
    </w:p>
    <w:p w:rsidR="009E4FDE" w:rsidRDefault="009E4FDE" w:rsidP="009E4FDE">
      <w:pPr>
        <w:jc w:val="both"/>
      </w:pPr>
      <w:r>
        <w:t>This literature review was guided by Cooper’s (1998) five-stage model of synthesising research: (1) problem formation; (2) data collection on literature search; (3) data evaluation; (4) data analysis and interpretation; and (5) result presentation. Guidelines set out in the Preferred Reporting Items for Systematic reviews and Meta-Analyses (PRISMA) statement by Moher et al. (2009) were used for structuring this review article.</w:t>
      </w:r>
    </w:p>
    <w:p w:rsidR="009E4FDE" w:rsidRDefault="009E4FDE" w:rsidP="009E4FDE">
      <w:pPr>
        <w:jc w:val="both"/>
        <w:rPr>
          <w:b/>
          <w:sz w:val="28"/>
          <w:szCs w:val="28"/>
        </w:rPr>
      </w:pPr>
      <w:r w:rsidRPr="009E4FDE">
        <w:rPr>
          <w:b/>
          <w:sz w:val="28"/>
          <w:szCs w:val="28"/>
        </w:rPr>
        <w:t>Inclusion and exclusion criteria</w:t>
      </w:r>
    </w:p>
    <w:p w:rsidR="009E4FDE" w:rsidRDefault="009E4FDE" w:rsidP="009E4FDE">
      <w:pPr>
        <w:jc w:val="both"/>
      </w:pPr>
      <w:r>
        <w:t xml:space="preserve">Articles published between January 1990–March 2013 in English-language peer-reviewed journals were included. Specific criteria for considering studies for this review were as follows: </w:t>
      </w:r>
    </w:p>
    <w:p w:rsidR="009E4FDE" w:rsidRDefault="009E4FDE" w:rsidP="009E4FDE">
      <w:pPr>
        <w:jc w:val="both"/>
      </w:pPr>
      <w:r>
        <w:t xml:space="preserve">1 Types of study subjects: postoperative adult patients treated in the PACU, and studies conducted in paediatric or neonatal patients were excluded; </w:t>
      </w:r>
    </w:p>
    <w:p w:rsidR="009E4FDE" w:rsidRDefault="009E4FDE" w:rsidP="009E4FDE">
      <w:pPr>
        <w:jc w:val="both"/>
      </w:pPr>
      <w:r>
        <w:t xml:space="preserve">2 Types of study design: experimental (randomised or not) and observational studies (prospective or retrospective); </w:t>
      </w:r>
    </w:p>
    <w:p w:rsidR="009E4FDE" w:rsidRDefault="009E4FDE" w:rsidP="009E4FDE">
      <w:pPr>
        <w:jc w:val="both"/>
      </w:pPr>
      <w:r>
        <w:t xml:space="preserve">3 Types of exposure: RNB detected on tracheal extubation or on PACU arrival; </w:t>
      </w:r>
    </w:p>
    <w:p w:rsidR="009E4FDE" w:rsidRDefault="009E4FDE" w:rsidP="009E4FDE">
      <w:pPr>
        <w:jc w:val="both"/>
      </w:pPr>
      <w:r>
        <w:t>4 Types of outcome measures: CREs documented during PACU stay</w:t>
      </w:r>
    </w:p>
    <w:p w:rsidR="009E4FDE" w:rsidRPr="009E4FDE" w:rsidRDefault="009E4FDE" w:rsidP="009E4FDE">
      <w:pPr>
        <w:jc w:val="both"/>
        <w:rPr>
          <w:b/>
          <w:sz w:val="28"/>
          <w:szCs w:val="28"/>
        </w:rPr>
      </w:pPr>
      <w:r w:rsidRPr="009E4FDE">
        <w:rPr>
          <w:b/>
          <w:sz w:val="28"/>
          <w:szCs w:val="28"/>
        </w:rPr>
        <w:t xml:space="preserve">Database search </w:t>
      </w:r>
    </w:p>
    <w:p w:rsidR="009E4FDE" w:rsidRDefault="009E4FDE" w:rsidP="009E4FDE">
      <w:pPr>
        <w:jc w:val="both"/>
      </w:pPr>
      <w:r>
        <w:t>Two authors independently searched for primary studies indexed in the following databases: Cumulative Index for Nursing and Allied Health Literature (CINAHL); PubMed (National Library of Medicine); Web of Science; the Cochrane Library; and EMBASE. Searches initially took place at the first week of March 2013 and were updated at the first week of June 2013 (EMBASE search took place only at the first week of June 2013). Key search terms used included ‘residual neuromuscular block(ade)’, ‘residual paresis (paralysis)’, ‘neuromuscular blocking drugs’ and ‘residual curarization’, which were combined with ‘adverse respiratory events’, ‘CREs’, ‘respiratory complications’, ‘pulmonary complications’, ‘hypoxemia’ ‘airway obstruction’, ‘hypoventilation’, ‘respiratory distress’ and ‘aspiration’. Once the database searches were completed, duplicate entries were identified and discarded. Retrieved studies were initially screened for inclusion by using titles and abstracts. The full text of selected articles was then obtained and thoroughly read by both authors for a final determination regarding eligibility for inclusion. Discrepancies between reviewers were resolved by discussion. Reference lists of the eligible-for-inclusion articles were followed up for identifying other potentially relevant articles not found in the online searches.</w:t>
      </w:r>
    </w:p>
    <w:p w:rsidR="009E4FDE" w:rsidRDefault="009E4FDE" w:rsidP="009E4FDE">
      <w:pPr>
        <w:jc w:val="both"/>
      </w:pPr>
      <w:r w:rsidRPr="009E4FDE">
        <w:rPr>
          <w:b/>
          <w:sz w:val="28"/>
          <w:szCs w:val="28"/>
        </w:rPr>
        <w:t>Search outcome</w:t>
      </w:r>
      <w:r>
        <w:t xml:space="preserve"> </w:t>
      </w:r>
    </w:p>
    <w:p w:rsidR="009E4FDE" w:rsidRDefault="009E4FDE" w:rsidP="009E4FDE">
      <w:pPr>
        <w:jc w:val="both"/>
      </w:pPr>
      <w:r>
        <w:t xml:space="preserve">Initial online searches revealed 22 potentially relevant citations, evaluated by title. Thirteen articles were selected based on abstract evaluation and nine of them were selected based on full-text </w:t>
      </w:r>
      <w:r>
        <w:lastRenderedPageBreak/>
        <w:t>evaluation. There were three discrepancies between reviewers during citation review, one discrepancy during abstract review and no discrepancies during full-text review. The searches of the reference lists of selected articles revealed three more potential citations, whose full text was also retrieved and evaluated. After full-text evaluation of these 12 articles, nine articles were finally considered appropriate for inclusion in this review.</w:t>
      </w:r>
    </w:p>
    <w:p w:rsidR="009E4FDE" w:rsidRDefault="009E4FDE" w:rsidP="009E4FDE">
      <w:pPr>
        <w:jc w:val="both"/>
      </w:pPr>
      <w:r w:rsidRPr="009E4FDE">
        <w:rPr>
          <w:b/>
          <w:sz w:val="28"/>
          <w:szCs w:val="28"/>
        </w:rPr>
        <w:t>Data extraction and quality appraisal</w:t>
      </w:r>
      <w:r>
        <w:t xml:space="preserve"> </w:t>
      </w:r>
    </w:p>
    <w:p w:rsidR="009E4FDE" w:rsidRDefault="009E4FDE" w:rsidP="009E4FDE">
      <w:pPr>
        <w:jc w:val="both"/>
      </w:pPr>
      <w:r>
        <w:t xml:space="preserve">Two reviewers independently extracted the data from included studies. Extracted data included the following: author(s); year of publication; country; participants (number, characteristics); study aims and design; definition and incidence of RNB; types and incidence of documented CREs; main study findings; and methodological quality of studies. The reviewers re-examined articles in which their data extractions were discordant and discussed differences until consensus was reached. A descriptive approach was used for summarising the available evidence, while a synthesis of each included study was presented in the descriptive analysis. </w:t>
      </w:r>
    </w:p>
    <w:p w:rsidR="009E4FDE" w:rsidRDefault="009E4FDE" w:rsidP="009E4FDE">
      <w:pPr>
        <w:jc w:val="both"/>
      </w:pPr>
      <w:r>
        <w:t>Although the methodological quality of studies was not a criterion for their inclusion in this review, selected studies were critically appraised and differences regarding their quality were evaluated. Specifically, quality of included observational studies was evaluated according to sample selection and size, RNB definition, documented CREs, double-blind method and statistical analysis. Quality of randomised trials was evaluated according to sample selection and size, RNB definition, documented CREs, randomisation, double-blind method, inclusion and exclusion criteria, and appropriate follow-up (Moher et al. 2009, Polit &amp; Beck 2010).</w:t>
      </w:r>
    </w:p>
    <w:p w:rsidR="009E4FDE" w:rsidRDefault="009E4FDE" w:rsidP="009E4FDE">
      <w:pPr>
        <w:jc w:val="both"/>
      </w:pPr>
      <w:r w:rsidRPr="009E4FDE">
        <w:rPr>
          <w:b/>
          <w:sz w:val="28"/>
          <w:szCs w:val="28"/>
        </w:rPr>
        <w:t>Results</w:t>
      </w:r>
      <w:r>
        <w:t xml:space="preserve"> </w:t>
      </w:r>
    </w:p>
    <w:p w:rsidR="009E4FDE" w:rsidRPr="009E4FDE" w:rsidRDefault="009E4FDE" w:rsidP="009E4FDE">
      <w:pPr>
        <w:jc w:val="both"/>
        <w:rPr>
          <w:b/>
        </w:rPr>
      </w:pPr>
      <w:r w:rsidRPr="009E4FDE">
        <w:rPr>
          <w:b/>
        </w:rPr>
        <w:t xml:space="preserve">Study characteristics and quality </w:t>
      </w:r>
    </w:p>
    <w:p w:rsidR="009E4FDE" w:rsidRDefault="009E4FDE" w:rsidP="009E4FDE">
      <w:pPr>
        <w:jc w:val="both"/>
      </w:pPr>
      <w:r>
        <w:t xml:space="preserve">Selected studies were published between 2000–2013. There were four clinical trials and five observational studies; these were two cohort studies, one case–control study and two quality audits. All studies were single centre, and all observational studies were prospective. Three studies were conducted in USA (by the same research team), one in New Zealand and </w:t>
      </w:r>
      <w:r w:rsidRPr="009E4FDE">
        <w:t xml:space="preserve">the rest in European countries. In all studies, patient evaluations for CREs were conducted by nurses either employed in the PACU or participating in the study, while pulse oximetry was used for hypoxaemia detection. Supplemental oxygen (2–3 l/minute) was routinely administered after PACU arrival in five studies (Murphy et al. 2008a,b, Sauer et al. 2011, Cammu et al. 2012, Norton et al. 2013); in the rest, oxygen administration was left at the discretion of PACU nurses. In all studies, RNB was quantitatively assessed, by the use of acceleromyography or mechanomyography. </w:t>
      </w:r>
    </w:p>
    <w:p w:rsidR="009E4FDE" w:rsidRDefault="009E4FDE" w:rsidP="009E4FDE">
      <w:pPr>
        <w:jc w:val="both"/>
      </w:pPr>
      <w:r w:rsidRPr="009E4FDE">
        <w:t>Differences in the methodological quality of included s</w:t>
      </w:r>
      <w:r w:rsidR="006B6BFB">
        <w:t>tudies were identified</w:t>
      </w:r>
      <w:r w:rsidRPr="009E4FDE">
        <w:t xml:space="preserve">. First, the currently recommended definition of RNB as </w:t>
      </w:r>
      <w:r w:rsidR="006B6BFB">
        <w:t>TOF ratio ≤0.</w:t>
      </w:r>
      <w:r w:rsidRPr="009E4FDE">
        <w:t xml:space="preserve">9% was used in only five studies. Second, a data collection sheet with exact definitions of CREs was used in only one study (Murphy et al. 2008a). All studies included hypoxaemia (mild–moderate or severe) among documented CREs; however, airway obstruction was included among documented CREs in five studies, need for airway support in four </w:t>
      </w:r>
      <w:r w:rsidRPr="009E4FDE">
        <w:lastRenderedPageBreak/>
        <w:t xml:space="preserve">studies, respiratory distress or failure in three studies and pulmonary aspiration and hypercapnia in one study each. Third, in five studies, postoperative patients were evaluated for CREs during the whole PACU stay; however, the evaluation included only the first 30 minutes after PACU admission in two studies, the first 15 minutes in one study and the immediate period after PACU admission in one study. Fourth, nurses evaluating patients for CREs were reported to be blinded to RNB status in only two studies (Bissinger et al. 2000, Murphy et al. 2004). </w:t>
      </w:r>
    </w:p>
    <w:p w:rsidR="009E4FDE" w:rsidRDefault="009E4FDE" w:rsidP="009E4FDE">
      <w:pPr>
        <w:jc w:val="both"/>
      </w:pPr>
      <w:r w:rsidRPr="009E4FDE">
        <w:t xml:space="preserve">With regard to observational studies, patients with diverse operative procedures were enrolled in the cohort studies and </w:t>
      </w:r>
      <w:r w:rsidR="006B6BFB">
        <w:t>the case–control study</w:t>
      </w:r>
      <w:r w:rsidRPr="009E4FDE">
        <w:t xml:space="preserve">; thus, these studies were highly representative of the PACU patient population. However, the study of Norton et al. (2013) employed a relatively small sample. The samples of the quality audits were also very limited. Evaluation of the association between RNB and CREs was the primary aim of the cohort studies and the case–control study, but not of the quality audits. None of the observational studies tested the associations between RNB and CREs in the multivariate level. </w:t>
      </w:r>
    </w:p>
    <w:p w:rsidR="009E4FDE" w:rsidRDefault="009E4FDE" w:rsidP="009E4FDE">
      <w:pPr>
        <w:jc w:val="both"/>
      </w:pPr>
      <w:r w:rsidRPr="009E4FDE">
        <w:t>With regard to clinical trials, none of them reported significant loss to follow-up, and three of them used a well-described, randomised design (Table 1). Patients were allocated to comparison groups according to the presence (or absence) of RNB on tracheal extubation in only one randomised trial (Sauer et al. 2011). Similarly, incidence of CREs was the primary endpoint in only two trials (Bissinger et al. 2000, Sauer et al. 2011). Considerable</w:t>
      </w:r>
      <w:r>
        <w:t xml:space="preserve"> differences were evident among trials in the number of patients enrolled (ranging from 69–179), while sample size calculation was based on the incidence of postoperative hypoxaemia in two studies (Murphy et al. 2008b, Sauer et al. 2011). Patients enrolled in trials differed according to the operative procedures they sustained; only one study enrolled patients with diverse operative procedures (Murphy et al. 2008b), while the others enrolled either orthopaedic (Murphy et al. 2004, Sauer et al. 2011) or abdominal surgery patients (Bissinger et al. 2000). To avoid confounding effects, only patients with an American Society of Anesthesiologists (ASA) physical status score of I–II were enrolled in one clinical trial (Murphy et al. 2008b) and with an ASA score I–III in the rest. For the same reason, three trials used additional exclusion criteria, mainly extremes of age, underlying neuromuscular disease, body weight significantly greater than ideal and use of drugs known to interfere with neuromuscular transmission (Murphy et al. 2004, 2008b, Sauer et al. 2011).</w:t>
      </w:r>
    </w:p>
    <w:p w:rsidR="009E4FDE" w:rsidRDefault="009E4FDE" w:rsidP="009E4FDE">
      <w:pPr>
        <w:jc w:val="both"/>
      </w:pPr>
      <w:r w:rsidRPr="009E4FDE">
        <w:rPr>
          <w:b/>
          <w:sz w:val="28"/>
          <w:szCs w:val="28"/>
        </w:rPr>
        <w:t>Study findings</w:t>
      </w:r>
      <w:r>
        <w:t xml:space="preserve"> </w:t>
      </w:r>
    </w:p>
    <w:p w:rsidR="009E4FDE" w:rsidRDefault="009E4FDE" w:rsidP="009E4FDE">
      <w:pPr>
        <w:jc w:val="both"/>
      </w:pPr>
      <w:r>
        <w:t>In the cohort study of Cammu et al. (2012), RNB was detected in 14.1% of patients, but this was not associated with hypoxaemia (2.3 vs. 3.7% in those without RNB, p = 0.761) or need for airway support (4.5 vs. 8.0%, p = 0.248). In the cohort study of Norton et al. (2013), incidence of RNB was much higher, 29.7%. In patients with RNB, higher incidence of overall CREs (50.8 vs. 15.6% in those without RNB, p &lt; 0.001), upper airway obstruction (9.8 vs. 2</w:t>
      </w:r>
      <w:r>
        <w:t xml:space="preserve">1%, p = 0.029), muscle weakness (16.4 vs. 0.7%, p &lt; 0.001), mild–moderate hypoxaemia (23.0 vs. 4.3%, p &lt; 0.001), severe hypoxaemia (6.6 vs. 0.7%, p = 0.033) and respiratory distress (8.2 vs. 1.4%, p = 0.031) was documented. </w:t>
      </w:r>
    </w:p>
    <w:p w:rsidR="009E4FDE" w:rsidRDefault="009E4FDE" w:rsidP="009E4FDE">
      <w:pPr>
        <w:jc w:val="both"/>
      </w:pPr>
      <w:r>
        <w:t xml:space="preserve">Murphy et al. (2008a) conducted a case–control study to examine whether patients manifesting CREs had a higher incidence of RNB. In the case group, most frequently observed CREs were mild hypoxaemia </w:t>
      </w:r>
      <w:r>
        <w:lastRenderedPageBreak/>
        <w:t xml:space="preserve">(23.8%), severe hypoxaemia (52.4%) and upper airway obstruction (35.7%). After appropriately matching with patients without CREs, mean TOF ratio was found to be higher in the control group (0.98 0.07 vs. 0.62 0.20% in the case group, p &lt; 0.001). </w:t>
      </w:r>
    </w:p>
    <w:p w:rsidR="009E4FDE" w:rsidRDefault="009E4FDE" w:rsidP="009E4FDE">
      <w:pPr>
        <w:jc w:val="both"/>
      </w:pPr>
      <w:r>
        <w:t xml:space="preserve">Hypoxaemia and upper airway obstruction, or need for airway support, were investigated in the quality audits. McCaul et al. (2002) focused on the degree of postoperative RNB following atracurium administration. Patients with RNB (65.0%) did not differ from those without RNB in terms of hypoxaemia (7.7 vs. 0%, p = 0.154) or airway obstruction (7.7 vs. 0%, p = 0.154). Yip et al. (2010) assessed RNB incidence and found that patients with RNB (30.1%) were more likely to need airway support (20.7 vs. 4.6% in those without RNB, p = 0.023), but not to manifest hypoxaemia (3.4 vs. 1.5%, p = 0.522). </w:t>
      </w:r>
    </w:p>
    <w:p w:rsidR="009E4FDE" w:rsidRDefault="009E4FDE" w:rsidP="009E4FDE">
      <w:pPr>
        <w:jc w:val="both"/>
      </w:pPr>
      <w:r>
        <w:t xml:space="preserve">Bissinger et al. (2000) used a double-blind, interventional design to compare the incidence of hypoxaemia and hypercapnia between patients receiving pancuronium (n = 49) and vecuronium (n = 27). In the vecuronium group, there were no significant differences in either hypoxaemia or hypercapnia between patients with and without RNB (0 vs. 28.0%, p = 0.385 and 0 vs. 8.0%, p = 0.678 respectively). In contrast, in the pancuronium group, hypoxaemia but not hypercapnia was more common in patients with RNB (60.0 vs. 10.2% in those without RNB, p &lt; 0.001, and 30.0 vs. 7.7%, p = 0.055, respectively). </w:t>
      </w:r>
    </w:p>
    <w:p w:rsidR="009E4FDE" w:rsidRDefault="009E4FDE" w:rsidP="009E4FDE">
      <w:pPr>
        <w:jc w:val="both"/>
      </w:pPr>
      <w:r>
        <w:t xml:space="preserve">Murphy et al. (2004) randomly allocated patients to receive either pancuronium (n = 35) or rocuronium (n = 34) to compare postoperative recovery times and RNB-associated adverse outcomes. Median TOF ratio was lower in the pancuronium group, both on PACU arrival (0.78 vs. 0.98% in the rocuronium group, p &lt; 0.001) and 30 minutes later (0.98 vs. 1.1%, p &lt; 0.001). In the pancuronium group, patients were more likely to manifest mild hypoxaemia, but not swallowing difficulties (60.0 vs. 29.4% in the rocuronium group, p = 0.015, and 2.9 vs. 0%, p = 0.798, respectively). Mild hypoxaemia was more common in patients with RNB on PACU arrival (61.5 vs. 23.3%, p = 0.003). </w:t>
      </w:r>
    </w:p>
    <w:p w:rsidR="009E4FDE" w:rsidRDefault="009E4FDE" w:rsidP="009E4FDE">
      <w:pPr>
        <w:jc w:val="both"/>
      </w:pPr>
      <w:r>
        <w:t xml:space="preserve">A more recent randomised trial by Murphy et al. (2008b) compared patients evaluated with conventional qualitative TOF monitoring (n = 90) or quantitative acceleromyographic monitoring (n = 89) in terms of RNB incidence. RNB was more common in the conventional monitoring group (30.0 vs. 4.5% in the quantitative monitoring group, p &lt; 0.001). During the first 30 minutes of PACU stay, severe and mild hypoxaemia was also more common in the conventional monitoring group (21.1 vs. 0%, p &lt; 0.001, and 43.3 vs. 6.7%, p &lt; 0.001, respectively). </w:t>
      </w:r>
    </w:p>
    <w:p w:rsidR="009E4FDE" w:rsidRDefault="009E4FDE" w:rsidP="009E4FDE">
      <w:pPr>
        <w:jc w:val="both"/>
      </w:pPr>
      <w:r>
        <w:t>Sauer et al. (2011) compared the incidence of CREs between patients randomised to receive either neostigmine for neuromuscular blockade reversal (without RNB, n = 57) or placebo (with RNB, n = 57). Median TOF ratio on tracheal extubation was 1.0% in the neostigmine group and 0.7% in the placebo group (p &lt; 0.001). Hypoxaemia, mild–moderate hypoxaemia and swallowing difficulties were more common in the placebo group (50.9 vs. 28.1% in the neostigmine group, p = 0.021, 35.1 vs. 14.0%, p = 0.017, and 14.0 vs. 1.8%, p = 0.025, respectively).</w:t>
      </w:r>
    </w:p>
    <w:p w:rsidR="009E4FDE" w:rsidRDefault="009E4FDE" w:rsidP="009E4FDE">
      <w:pPr>
        <w:jc w:val="both"/>
      </w:pPr>
      <w:r w:rsidRPr="009E4FDE">
        <w:rPr>
          <w:b/>
          <w:sz w:val="28"/>
          <w:szCs w:val="28"/>
        </w:rPr>
        <w:t>Discussion</w:t>
      </w:r>
      <w:r>
        <w:t xml:space="preserve"> </w:t>
      </w:r>
    </w:p>
    <w:p w:rsidR="00FD17A2" w:rsidRDefault="009E4FDE" w:rsidP="009E4FDE">
      <w:pPr>
        <w:jc w:val="both"/>
      </w:pPr>
      <w:r>
        <w:t xml:space="preserve">Residual neuromuscular blockade in PACU patients has attracted increasing interest during recent years, as it continues to be particularly common despite advances in pharmacological agents and </w:t>
      </w:r>
      <w:r>
        <w:lastRenderedPageBreak/>
        <w:t>neuromuscular monitoring methods. The findings of studies included in this review provide considerable evidence that RNB is linked with increased incidence of hypoxaemia during PACU stay. Significant associations of RNB with increased incidence of upper airway obstruction and respiratory distress, and with increased need for airway support, were also reported, but existing evidence is insufficient to support these associations. Unfortunately, besides hypoxaemia, the rest of the CREs were investigated in only few studies, while CREs were documented during a limited time period in some studies (15 or 30 minutes or immediately after PACU admission). These considerations raise the possibility that more significant associations between RNB and CREs could have been detected in case all types of CREs were investigated until complete</w:t>
      </w:r>
      <w:r w:rsidR="00FD17A2">
        <w:t xml:space="preserve"> RNB reversal (TOF ratio ≥0.</w:t>
      </w:r>
      <w:r>
        <w:t xml:space="preserve">9%) was confirmed. </w:t>
      </w:r>
    </w:p>
    <w:p w:rsidR="00FD17A2" w:rsidRDefault="009E4FDE" w:rsidP="009E4FDE">
      <w:pPr>
        <w:jc w:val="both"/>
      </w:pPr>
      <w:r>
        <w:t xml:space="preserve">Two included studies failed to identify any association between RNB and CREs. In the study of McCaul et al. (2002), this could possibly be attributed to the limited sample employed. However, even large sample studies could in fact be underpowered to detect significant associations between RNB and CREs, in case both of them are rare. The combined, remarkably low incidence of RNB and hypoxemic episodes might therefore explain why a significant association between them could not be identified in the study of Cammu et al. (2012). It should also be noticed that, with the exception of the study of Norton et al. (2013), the association between RNB and overall incidence of CREs was not studied. However, as CREs are closely interrelated (e.g. airway obstruction, hypoventilation or pulmonary aspiration may lead to hypoxaemia), the association between RNB and overall incidence of CREs may better reflect the effects of RNB on patient respiratory function (than associations of RNB with separate types of CREs). </w:t>
      </w:r>
    </w:p>
    <w:p w:rsidR="00FD17A2" w:rsidRDefault="009E4FDE" w:rsidP="009E4FDE">
      <w:pPr>
        <w:jc w:val="both"/>
      </w:pPr>
      <w:r>
        <w:t>Residual neuromuscular blockade incidence varied considerably among studies, depending on the diagnostic threshold used, neuromuscular blocking drugs and reversal agents administered. A similar variation was observed in the incidence of CREs, which was rather expected considering their multifactorial aetiology, with factors such as limited respiratory reserve, type and duration of operational procedures and opioid administration interacting with RNB to reach an event. It was thus unfortunate that multivariate</w:t>
      </w:r>
      <w:r w:rsidR="00FD17A2">
        <w:t xml:space="preserve"> comparisons were not conducted in any of the existing observational studies to investigate independent associations between RNB and CREs, by controlling for the confounding effect of these factors. Reported incidence of CREs may also depend on the definitions of CREs used, as well as on the competency of investigators to appropriately identify them. </w:t>
      </w:r>
    </w:p>
    <w:p w:rsidR="00FD17A2" w:rsidRDefault="00FD17A2" w:rsidP="009E4FDE">
      <w:pPr>
        <w:jc w:val="both"/>
      </w:pPr>
      <w:r>
        <w:t xml:space="preserve">Several mechanisms have been proposed to explain the potential of RNB to result in hypoxaemia, which include depression of respiratory muscle function, decrease in upper airway muscle tone and a direct effect on hypoxic respiratory drive (Murphy 2006). However, it is worth noticing that the incidence of postoperative hypoxaemia can be affected not only by patient, anaesthetic or surgical factors, but also by institution policies on supplemental oxygen delivery during patient transfer to the PACU or PACU stay. Among included studies, supplemental oxygen was routinely administered during PACU stay in five of them. The need for supplemental oxygen in the entirety of patients recovering from general anaesthesia remains controversial, with some authors opposing to its routine use due to economic reasons (Nicholau 2010). However, prophylactic oxygen administration is strongly recommended in patient groups being at high risk of hypoxaemia; in this context, patients with RNB are expected to benefit from oxygen therapy. </w:t>
      </w:r>
    </w:p>
    <w:p w:rsidR="009E4FDE" w:rsidRDefault="00FD17A2" w:rsidP="009E4FDE">
      <w:pPr>
        <w:jc w:val="both"/>
      </w:pPr>
      <w:r>
        <w:lastRenderedPageBreak/>
        <w:t xml:space="preserve">The effect of RNB on long-term postoperative pulmonary complications has been previously addressed. </w:t>
      </w:r>
      <w:r w:rsidRPr="00FD17A2">
        <w:t>However, the present review was preferred to focus on CREs occurring in the PACU, not only due to the dearth of studies on the association between RNB and pneumonia, but also due to the temporal proximity between RNB and early CREs, which could account for associations independent from the effects of post-PACU confounding factors (drugs administered in the surgical ward, presence of pain, delayed patient mobilisation, etc.).</w:t>
      </w:r>
    </w:p>
    <w:p w:rsidR="00FD17A2" w:rsidRPr="00FD17A2" w:rsidRDefault="00FD17A2" w:rsidP="009E4FDE">
      <w:pPr>
        <w:jc w:val="both"/>
        <w:rPr>
          <w:b/>
          <w:sz w:val="28"/>
          <w:szCs w:val="28"/>
        </w:rPr>
      </w:pPr>
      <w:r w:rsidRPr="00FD17A2">
        <w:rPr>
          <w:b/>
          <w:sz w:val="28"/>
          <w:szCs w:val="28"/>
        </w:rPr>
        <w:t xml:space="preserve">Study limitations </w:t>
      </w:r>
    </w:p>
    <w:p w:rsidR="00FD17A2" w:rsidRDefault="00FD17A2" w:rsidP="009E4FDE">
      <w:pPr>
        <w:jc w:val="both"/>
      </w:pPr>
      <w:r>
        <w:t>The relatively small number of original studies meeting the inclusion criteria, along with methodological weaknesses identified and limited types of CREs included in some of them, was the major limitation of this literature review. Second, there were three studies conducted by the same research team (at the same hospital department), which may limit generalisability of the findings. Third, searches were limited to five information sources, while other comprehensive and updated databases were not searched. Fourth, as only published studies were included, the grey literature (e.g. theses or conference abstracts) was not covered. Fifth, established instruments or scores widely used in literature reviews for quality appraisal of studies were not used in this review. Sixth, heterogeneous definitions of both RNB and CREs did not allow extracted data to be combined in a meta-analysis.</w:t>
      </w:r>
    </w:p>
    <w:p w:rsidR="00FD17A2" w:rsidRPr="00FD17A2" w:rsidRDefault="00FD17A2" w:rsidP="009E4FDE">
      <w:pPr>
        <w:jc w:val="both"/>
        <w:rPr>
          <w:b/>
          <w:sz w:val="28"/>
          <w:szCs w:val="28"/>
        </w:rPr>
      </w:pPr>
      <w:r w:rsidRPr="00FD17A2">
        <w:rPr>
          <w:b/>
          <w:sz w:val="28"/>
          <w:szCs w:val="28"/>
        </w:rPr>
        <w:t xml:space="preserve">Conclusion </w:t>
      </w:r>
    </w:p>
    <w:p w:rsidR="00FD17A2" w:rsidRDefault="00FD17A2" w:rsidP="009E4FDE">
      <w:pPr>
        <w:jc w:val="both"/>
      </w:pPr>
      <w:r>
        <w:t>This literature review draws the attention of healthcare professionals to the role of RNB on CREs during PACU stay. The review findings support the association between RNB and hypoxaemia of postoperative patients. Although many patient- or treatment-related factors may contribute to CREs, decreasing RNB incidence after tracheal extubation, or at least closely monitoring patients with RNB in the PACU, could significantly contribute to hypoxaemia prevention. Additional research of better methodological quality is recommended, mainly on the associations between RNB and other CREs than hypoxaemia. Moreover, conducting randomised trials to investigate the effect of full recovery from neuromuscular blocking agents on the incidence of CREs is fundamental for supporting clinical practice.</w:t>
      </w:r>
    </w:p>
    <w:p w:rsidR="00FD17A2" w:rsidRDefault="00FD17A2" w:rsidP="009E4FDE">
      <w:pPr>
        <w:jc w:val="both"/>
      </w:pPr>
      <w:r w:rsidRPr="00FD17A2">
        <w:rPr>
          <w:b/>
          <w:sz w:val="28"/>
          <w:szCs w:val="28"/>
        </w:rPr>
        <w:t>Relevance to clinical practice</w:t>
      </w:r>
      <w:r>
        <w:t xml:space="preserve"> </w:t>
      </w:r>
    </w:p>
    <w:p w:rsidR="00FD17A2" w:rsidRDefault="00FD17A2" w:rsidP="009E4FDE">
      <w:pPr>
        <w:jc w:val="both"/>
      </w:pPr>
      <w:r>
        <w:t xml:space="preserve">The reported association between RNB and increased risk of hypoxaemia highlights the importance of minimising the incidence of postoperative RNB. Medical-nursing personnel employed in anaesthesiology departments should be aware of possible negative effects of RNB, especially in patients with compromised respiratory function or after high-risk surgical procedures. In these groups, appropriate pharmacological treatment (limited doses of intermediate- or shortacting neuromuscular blocking drugs and reversal of their action when needed), intraoperative use of neuromuscular monitoring and avoiding tracheal extubation before reaching a TOF ratio ≥0.9 are considered essential for safety improvement. </w:t>
      </w:r>
    </w:p>
    <w:p w:rsidR="00FD17A2" w:rsidRDefault="00FD17A2" w:rsidP="009E4FDE">
      <w:pPr>
        <w:jc w:val="both"/>
      </w:pPr>
      <w:r>
        <w:t xml:space="preserve">CREs continue to be a major concern for patients admitted to the PACU after general anaesthesia. Their effective prevention presupposes that nursing personnel identifies factors predisposing to CREs. </w:t>
      </w:r>
      <w:r>
        <w:lastRenderedPageBreak/>
        <w:t xml:space="preserve">Unfortunately, RNB may remain undetected during the postoperative period, or its potential effects can be underestimated. In this context, PACU nurses should ask for information from operating room medicalnursing personnel about neuromuscular function status and presence of RNB, in case neuromuscular blocking drugs have been used. This information is crucial for identifying patients being at high risk of hypoxaemia, on which temporarily intensified surveillance and monitoring should focus to timely detect any desaturation episodes. </w:t>
      </w:r>
    </w:p>
    <w:p w:rsidR="00FD17A2" w:rsidRDefault="00FD17A2" w:rsidP="009E4FDE">
      <w:pPr>
        <w:jc w:val="both"/>
      </w:pPr>
      <w:r>
        <w:t xml:space="preserve">Important implications for future research arise from this review. Multicentre cohort studies are needed for ensuring high generalisability of findings. Enrolment of large samples is necessary for appropriate detection of associations, especially between RNB and rarely occurring CREs, such as pulmonary aspiration or apnoea. In these studies, investigators documenting CREs should be blinded to RNB presence to avoid bias. The use of multivariate analysis to confirm independent associations between RNB and types of CREs is also strongly recommended. </w:t>
      </w:r>
    </w:p>
    <w:p w:rsidR="00FD17A2" w:rsidRDefault="00FD17A2" w:rsidP="009E4FDE">
      <w:pPr>
        <w:jc w:val="both"/>
      </w:pPr>
      <w:r>
        <w:t xml:space="preserve">Furthermore, conduction of randomised clinical trials is necessary for establishing causality on the associations between RNB and CREs. The incidence of CREs has to be the primary endpoint of these trials, in which patients with and without RNB have to be compared, as in the study of Sauer et al. (2011). Patient respiratory status, </w:t>
      </w:r>
      <w:r w:rsidRPr="00FD17A2">
        <w:t>anaesthetic drugs used and operative procedures contributing to CREs should not differ between patient groups. Particular focus on diverse patient populations, especially on high-risk groups (e.g. patients sustaining long-duration abdominal operations), is considered of primary clinical importance.</w:t>
      </w:r>
    </w:p>
    <w:p w:rsidR="00FD17A2" w:rsidRDefault="00FD17A2" w:rsidP="009E4FDE">
      <w:pPr>
        <w:jc w:val="both"/>
        <w:rPr>
          <w:b/>
          <w:sz w:val="28"/>
          <w:szCs w:val="28"/>
        </w:rPr>
      </w:pPr>
      <w:r w:rsidRPr="00FD17A2">
        <w:rPr>
          <w:b/>
          <w:sz w:val="28"/>
          <w:szCs w:val="28"/>
        </w:rPr>
        <w:t>References</w:t>
      </w:r>
    </w:p>
    <w:p w:rsidR="00FD17A2" w:rsidRDefault="00FD17A2" w:rsidP="009E4FDE">
      <w:pPr>
        <w:jc w:val="both"/>
      </w:pPr>
      <w:r>
        <w:t xml:space="preserve">Barone CP, Pablo CS &amp; Barone GW (2003) A history of the PACU. Journal of Perianesthesia Nursing 18, 237– 241. </w:t>
      </w:r>
    </w:p>
    <w:p w:rsidR="00FD17A2" w:rsidRDefault="00FD17A2" w:rsidP="009E4FDE">
      <w:pPr>
        <w:jc w:val="both"/>
      </w:pPr>
      <w:r>
        <w:t xml:space="preserve">Berg H, Viby-Mogensen J, Roed J, Mortensen CR, Engbek J, Skovgaard LT &amp; Krintel JJ (1997) Residual neuromuscular block is a risk factor for postoperative pulmonary complications. Acta Anaesthesiologica Scandinavica 41, 1095–1103. </w:t>
      </w:r>
    </w:p>
    <w:p w:rsidR="00FD17A2" w:rsidRDefault="00FD17A2" w:rsidP="009E4FDE">
      <w:pPr>
        <w:jc w:val="both"/>
      </w:pPr>
      <w:r>
        <w:t xml:space="preserve">Bissinger U, Schimek F &amp; Lenz G (2000) Postoperative residual paralysis and respiratory status: a comparative study of pancuronium and vecuronium. Physiological Research 49, 455– 462. </w:t>
      </w:r>
    </w:p>
    <w:p w:rsidR="00FD17A2" w:rsidRDefault="00FD17A2" w:rsidP="009E4FDE">
      <w:pPr>
        <w:jc w:val="both"/>
      </w:pPr>
      <w:r>
        <w:t xml:space="preserve">Buhre W &amp; Rossaint R (2003) Perioperative management and monitoring in anaesthesia. Lancet 362, 1839–1846. </w:t>
      </w:r>
    </w:p>
    <w:p w:rsidR="00FD17A2" w:rsidRDefault="00FD17A2" w:rsidP="009E4FDE">
      <w:pPr>
        <w:jc w:val="both"/>
      </w:pPr>
      <w:r>
        <w:t xml:space="preserve">Cammu GV, Smet V, De Jongh K &amp; Vandeput D (2012) A prospective, observational study comparing postoperative residual curarisation and early adverse respiratory events in patients reversed with neostigmine or sugammadex or after apparent spontaneous recovery. Anaesthesia and Intensive Care 40, 999–1006. </w:t>
      </w:r>
    </w:p>
    <w:p w:rsidR="00FD17A2" w:rsidRDefault="00FD17A2" w:rsidP="009E4FDE">
      <w:pPr>
        <w:jc w:val="both"/>
      </w:pPr>
      <w:r>
        <w:t>Claudius C, Garvey LH &amp; Viby-Mogensen J (2009) The undesirable effects of neuromuscular blocking drugs. Anaesthesia 64, 10–21.</w:t>
      </w:r>
    </w:p>
    <w:p w:rsidR="00FD17A2" w:rsidRDefault="00FD17A2" w:rsidP="009E4FDE">
      <w:pPr>
        <w:jc w:val="both"/>
      </w:pPr>
      <w:r>
        <w:lastRenderedPageBreak/>
        <w:t xml:space="preserve">Cohen MM, O’Brien-Pallas LL, Copplestone C, Wall R, Porter J &amp; Rose K (1999) Nursing workload associated with adverse events in the postanesthesia care unit. Anesthesiology 91, 1882–1890. </w:t>
      </w:r>
    </w:p>
    <w:p w:rsidR="004C2B76" w:rsidRDefault="00FD17A2" w:rsidP="009E4FDE">
      <w:pPr>
        <w:jc w:val="both"/>
      </w:pPr>
      <w:r>
        <w:t xml:space="preserve">Cooper H (1998) Synthesizing Research: A Guide for Literature Reviews. SAGE Publications Inc, Thousand Oaks, CA. </w:t>
      </w:r>
    </w:p>
    <w:p w:rsidR="004C2B76" w:rsidRDefault="00FD17A2" w:rsidP="009E4FDE">
      <w:pPr>
        <w:jc w:val="both"/>
      </w:pPr>
      <w:r>
        <w:t xml:space="preserve">Debaene B, Plaud B, Dilly M-P &amp; Donati F (2003) Residual paralysis in the PACU after a single intubating dose of nondepolarizing muscle relaxant with an intermediate duration of action. Anesthesiology 98, 1042–1048. </w:t>
      </w:r>
    </w:p>
    <w:p w:rsidR="004C2B76" w:rsidRDefault="00FD17A2" w:rsidP="009E4FDE">
      <w:pPr>
        <w:jc w:val="both"/>
      </w:pPr>
      <w:r>
        <w:t xml:space="preserve">Eikermann M, Groeben H, Husing J &amp; Peters J (2003) Accelerometry of adductor pollicis muscle predicts recovery of respiratory function from neuromuscular blockade. Anesthesiology 98, 1333–1337. </w:t>
      </w:r>
    </w:p>
    <w:p w:rsidR="004C2B76" w:rsidRDefault="00FD17A2" w:rsidP="009E4FDE">
      <w:pPr>
        <w:jc w:val="both"/>
      </w:pPr>
      <w:r>
        <w:t xml:space="preserve">Eikermann M, Vogt FM, Herbstreit F, Vahid-Dastgerdi M, Zenge MO, Ochterbeck C, de Greiff A &amp; Peters J (2007) The predisposition to inspiratory upper airway collapse during partial neuromuscular blockade. American Journal of Respiratory and Critical Care Medicine 175, 9–15. </w:t>
      </w:r>
    </w:p>
    <w:p w:rsidR="004C2B76" w:rsidRDefault="00FD17A2" w:rsidP="009E4FDE">
      <w:pPr>
        <w:jc w:val="both"/>
      </w:pPr>
      <w:r>
        <w:t xml:space="preserve">Hillman DR, Platt PR &amp; Eastwood PR (2003) The upper airway during anaesthesia. British Journal of Anaesthesia 91, 31–39. </w:t>
      </w:r>
    </w:p>
    <w:p w:rsidR="00FD17A2" w:rsidRPr="00FD17A2" w:rsidRDefault="00FD17A2" w:rsidP="009E4FDE">
      <w:pPr>
        <w:jc w:val="both"/>
        <w:rPr>
          <w:b/>
          <w:sz w:val="28"/>
          <w:szCs w:val="28"/>
        </w:rPr>
      </w:pPr>
      <w:r>
        <w:t>Hines R, Barash PG, Watrous G &amp; O’Connor T (1992) Complications occurring in the postanesthesia care unit: a survey. Anesthesia and Analgesia 74, 503–509</w:t>
      </w:r>
      <w:r w:rsidR="004C2B76">
        <w:t>.</w:t>
      </w:r>
    </w:p>
    <w:sectPr w:rsidR="00FD17A2" w:rsidRPr="00FD17A2">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compat>
    <w:useFELayout/>
  </w:compat>
  <w:rsids>
    <w:rsidRoot w:val="00BE6FA0"/>
    <w:rsid w:val="004C2B76"/>
    <w:rsid w:val="006B6BFB"/>
    <w:rsid w:val="009E4FDE"/>
    <w:rsid w:val="00BE6FA0"/>
    <w:rsid w:val="00FD17A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E4FD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kiekkpan@otenet.g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99</TotalTime>
  <Pages>11</Pages>
  <Words>5000</Words>
  <Characters>28505</Characters>
  <Application>Microsoft Office Word</Application>
  <DocSecurity>0</DocSecurity>
  <Lines>237</Lines>
  <Paragraphs>66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33439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Bappa Nandi</dc:creator>
  <cp:keywords/>
  <dc:description/>
  <cp:lastModifiedBy>Bappa Nandi</cp:lastModifiedBy>
  <cp:revision>11</cp:revision>
  <dcterms:created xsi:type="dcterms:W3CDTF">2020-05-28T14:40:00Z</dcterms:created>
  <dcterms:modified xsi:type="dcterms:W3CDTF">2020-05-28T16:19:00Z</dcterms:modified>
</cp:coreProperties>
</file>