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B17" w:rsidRPr="005D3A2A" w:rsidRDefault="00422B17" w:rsidP="00422B17">
      <w:pPr>
        <w:spacing w:line="240" w:lineRule="auto"/>
        <w:ind w:firstLine="0"/>
        <w:jc w:val="center"/>
        <w:rPr>
          <w:b/>
          <w:sz w:val="48"/>
          <w:szCs w:val="48"/>
          <w:lang w:val="en-US"/>
        </w:rPr>
      </w:pPr>
      <w:r w:rsidRPr="005D3A2A">
        <w:rPr>
          <w:b/>
          <w:sz w:val="48"/>
          <w:szCs w:val="48"/>
          <w:lang w:val="en-US"/>
        </w:rPr>
        <w:t>Awake Pron</w:t>
      </w:r>
      <w:r>
        <w:rPr>
          <w:b/>
          <w:sz w:val="48"/>
          <w:szCs w:val="48"/>
          <w:lang w:val="en-US"/>
        </w:rPr>
        <w:t>ing</w:t>
      </w:r>
      <w:r w:rsidRPr="005D3A2A">
        <w:rPr>
          <w:b/>
          <w:sz w:val="48"/>
          <w:szCs w:val="48"/>
          <w:lang w:val="en-US"/>
        </w:rPr>
        <w:t xml:space="preserve"> in Patients with COVID-19</w:t>
      </w:r>
      <w:r>
        <w:rPr>
          <w:b/>
          <w:sz w:val="48"/>
          <w:szCs w:val="48"/>
          <w:lang w:val="en-US"/>
        </w:rPr>
        <w:t xml:space="preserve"> </w:t>
      </w:r>
      <w:r>
        <w:rPr>
          <w:b/>
          <w:sz w:val="48"/>
          <w:szCs w:val="48"/>
          <w:lang w:val="en-US"/>
        </w:rPr>
        <w:t>–</w:t>
      </w:r>
      <w:r>
        <w:rPr>
          <w:b/>
          <w:sz w:val="48"/>
          <w:szCs w:val="48"/>
          <w:lang w:val="en-US"/>
        </w:rPr>
        <w:t>a</w:t>
      </w:r>
      <w:r w:rsidRPr="005D3A2A">
        <w:rPr>
          <w:b/>
          <w:sz w:val="48"/>
          <w:szCs w:val="48"/>
          <w:lang w:val="en-US"/>
        </w:rPr>
        <w:t xml:space="preserve"> </w:t>
      </w:r>
      <w:r>
        <w:rPr>
          <w:b/>
          <w:sz w:val="48"/>
          <w:szCs w:val="48"/>
          <w:lang w:val="en-US"/>
        </w:rPr>
        <w:t>guidance</w:t>
      </w:r>
      <w:r w:rsidRPr="005D3A2A">
        <w:rPr>
          <w:b/>
          <w:sz w:val="48"/>
          <w:szCs w:val="48"/>
          <w:lang w:val="en-US"/>
        </w:rPr>
        <w:t xml:space="preserve"> from an </w:t>
      </w:r>
      <w:r>
        <w:rPr>
          <w:b/>
          <w:sz w:val="48"/>
          <w:szCs w:val="48"/>
          <w:lang w:val="en-US"/>
        </w:rPr>
        <w:t>i</w:t>
      </w:r>
      <w:r w:rsidRPr="005D3A2A">
        <w:rPr>
          <w:b/>
          <w:sz w:val="48"/>
          <w:szCs w:val="48"/>
          <w:lang w:val="en-US"/>
        </w:rPr>
        <w:t xml:space="preserve">nternational </w:t>
      </w:r>
      <w:r>
        <w:rPr>
          <w:b/>
          <w:sz w:val="48"/>
          <w:szCs w:val="48"/>
          <w:lang w:val="en-US"/>
        </w:rPr>
        <w:t>g</w:t>
      </w:r>
      <w:r w:rsidRPr="005D3A2A">
        <w:rPr>
          <w:b/>
          <w:sz w:val="48"/>
          <w:szCs w:val="48"/>
          <w:lang w:val="en-US"/>
        </w:rPr>
        <w:t xml:space="preserve">roup of </w:t>
      </w:r>
      <w:r>
        <w:rPr>
          <w:b/>
          <w:sz w:val="48"/>
          <w:szCs w:val="48"/>
          <w:lang w:val="en-US"/>
        </w:rPr>
        <w:t>h</w:t>
      </w:r>
      <w:r w:rsidRPr="005D3A2A">
        <w:rPr>
          <w:b/>
          <w:sz w:val="48"/>
          <w:szCs w:val="48"/>
          <w:lang w:val="en-US"/>
        </w:rPr>
        <w:t xml:space="preserve">ealthcare </w:t>
      </w:r>
      <w:r>
        <w:rPr>
          <w:b/>
          <w:sz w:val="48"/>
          <w:szCs w:val="48"/>
          <w:lang w:val="en-US"/>
        </w:rPr>
        <w:t>w</w:t>
      </w:r>
      <w:r w:rsidRPr="005D3A2A">
        <w:rPr>
          <w:b/>
          <w:sz w:val="48"/>
          <w:szCs w:val="48"/>
          <w:lang w:val="en-US"/>
        </w:rPr>
        <w:t>orkers</w:t>
      </w:r>
    </w:p>
    <w:p w:rsidR="00422B17" w:rsidRDefault="00422B17" w:rsidP="00422B17">
      <w:pPr>
        <w:ind w:firstLine="0"/>
        <w:rPr>
          <w:b/>
          <w:sz w:val="24"/>
          <w:szCs w:val="24"/>
          <w:lang w:val="en-US"/>
        </w:rPr>
      </w:pPr>
    </w:p>
    <w:p w:rsidR="00422B17" w:rsidRDefault="00422B17" w:rsidP="00422B17">
      <w:pPr>
        <w:ind w:firstLine="0"/>
        <w:rPr>
          <w:b/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Presentor</w:t>
      </w:r>
      <w:proofErr w:type="spellEnd"/>
      <w:r>
        <w:rPr>
          <w:b/>
          <w:sz w:val="24"/>
          <w:szCs w:val="24"/>
          <w:lang w:val="en-US"/>
        </w:rPr>
        <w:t>: Willemke Stilma</w:t>
      </w:r>
    </w:p>
    <w:p w:rsidR="00422B17" w:rsidRDefault="00422B17" w:rsidP="00422B17">
      <w:pPr>
        <w:ind w:firstLine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Thursday 29</w:t>
      </w:r>
      <w:r w:rsidRPr="00422B17">
        <w:rPr>
          <w:b/>
          <w:sz w:val="24"/>
          <w:szCs w:val="24"/>
          <w:vertAlign w:val="superscript"/>
          <w:lang w:val="en-US"/>
        </w:rPr>
        <w:t>th</w:t>
      </w:r>
      <w:r>
        <w:rPr>
          <w:b/>
          <w:sz w:val="24"/>
          <w:szCs w:val="24"/>
          <w:lang w:val="en-US"/>
        </w:rPr>
        <w:t xml:space="preserve"> April 2021 13.00 Amsterdam time</w:t>
      </w:r>
    </w:p>
    <w:p w:rsidR="00422B17" w:rsidRDefault="00422B17" w:rsidP="00422B17">
      <w:pPr>
        <w:ind w:firstLine="0"/>
        <w:rPr>
          <w:b/>
          <w:sz w:val="24"/>
          <w:szCs w:val="24"/>
          <w:lang w:val="en-US"/>
        </w:rPr>
      </w:pPr>
    </w:p>
    <w:p w:rsidR="00422B17" w:rsidRPr="005D3A2A" w:rsidRDefault="00422B17" w:rsidP="00422B17">
      <w:pPr>
        <w:ind w:firstLine="0"/>
        <w:rPr>
          <w:b/>
          <w:sz w:val="24"/>
          <w:szCs w:val="24"/>
          <w:lang w:val="en-US"/>
        </w:rPr>
      </w:pPr>
      <w:r w:rsidRPr="005D3A2A">
        <w:rPr>
          <w:b/>
          <w:sz w:val="24"/>
          <w:szCs w:val="24"/>
          <w:lang w:val="en-US"/>
        </w:rPr>
        <w:t>Abstract</w:t>
      </w:r>
    </w:p>
    <w:p w:rsidR="00422B17" w:rsidRPr="005D3A2A" w:rsidRDefault="00422B17" w:rsidP="00422B17">
      <w:pPr>
        <w:ind w:firstLine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</w:t>
      </w:r>
      <w:r w:rsidRPr="005D3A2A">
        <w:rPr>
          <w:sz w:val="24"/>
          <w:szCs w:val="24"/>
          <w:lang w:val="en-US"/>
        </w:rPr>
        <w:t>on</w:t>
      </w:r>
      <w:r>
        <w:rPr>
          <w:sz w:val="24"/>
          <w:szCs w:val="24"/>
          <w:lang w:val="en-US"/>
        </w:rPr>
        <w:t>-</w:t>
      </w:r>
      <w:r w:rsidRPr="005D3A2A">
        <w:rPr>
          <w:sz w:val="24"/>
          <w:szCs w:val="24"/>
          <w:lang w:val="en-US"/>
        </w:rPr>
        <w:t xml:space="preserve">intubated patients with </w:t>
      </w:r>
      <w:r>
        <w:rPr>
          <w:sz w:val="24"/>
          <w:szCs w:val="24"/>
          <w:lang w:val="en-US"/>
        </w:rPr>
        <w:t>acute respiratory failure due to c</w:t>
      </w:r>
      <w:r w:rsidRPr="005D3A2A">
        <w:rPr>
          <w:sz w:val="24"/>
          <w:szCs w:val="24"/>
          <w:lang w:val="en-US"/>
        </w:rPr>
        <w:t xml:space="preserve">oronavirus </w:t>
      </w:r>
      <w:r>
        <w:rPr>
          <w:sz w:val="24"/>
          <w:szCs w:val="24"/>
          <w:lang w:val="en-US"/>
        </w:rPr>
        <w:t>d</w:t>
      </w:r>
      <w:r w:rsidRPr="005D3A2A">
        <w:rPr>
          <w:sz w:val="24"/>
          <w:szCs w:val="24"/>
          <w:lang w:val="en-US"/>
        </w:rPr>
        <w:t xml:space="preserve">isease 2019 (COVID-19) </w:t>
      </w:r>
      <w:r>
        <w:rPr>
          <w:sz w:val="24"/>
          <w:szCs w:val="24"/>
          <w:lang w:val="en-US"/>
        </w:rPr>
        <w:t xml:space="preserve">could </w:t>
      </w:r>
      <w:r w:rsidRPr="005D3A2A">
        <w:rPr>
          <w:sz w:val="24"/>
          <w:szCs w:val="24"/>
          <w:lang w:val="en-US"/>
        </w:rPr>
        <w:t xml:space="preserve">benefit from </w:t>
      </w:r>
      <w:r>
        <w:rPr>
          <w:sz w:val="24"/>
          <w:szCs w:val="24"/>
          <w:lang w:val="en-US"/>
        </w:rPr>
        <w:t>awake proning</w:t>
      </w:r>
      <w:r w:rsidRPr="005D3A2A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Awake proning is an attractive intervention in settings with limited resources, as it comes with no additional costs</w:t>
      </w:r>
      <w:r w:rsidRPr="005D3A2A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However, awake proning remains poorly used, probably because of unfamiliarity and uncertainties regarding potential benefits and practical application</w:t>
      </w:r>
      <w:r w:rsidRPr="005D3A2A">
        <w:rPr>
          <w:sz w:val="24"/>
          <w:szCs w:val="24"/>
          <w:lang w:val="en-US"/>
        </w:rPr>
        <w:t>.</w:t>
      </w:r>
    </w:p>
    <w:p w:rsidR="00422B17" w:rsidRPr="005D3A2A" w:rsidRDefault="00422B17" w:rsidP="00422B17">
      <w:pPr>
        <w:rPr>
          <w:sz w:val="24"/>
          <w:szCs w:val="24"/>
          <w:lang w:val="en-US"/>
        </w:rPr>
      </w:pPr>
      <w:r w:rsidRPr="00950759">
        <w:rPr>
          <w:color w:val="000000"/>
          <w:sz w:val="24"/>
          <w:szCs w:val="24"/>
          <w:lang w:val="en-US"/>
        </w:rPr>
        <w:t xml:space="preserve">To summarize evidence for benefit and to develop a set of pragmatic recommendations for awake proning in patients with COVID-19 </w:t>
      </w:r>
      <w:r w:rsidRPr="00393D75">
        <w:rPr>
          <w:color w:val="000000"/>
          <w:sz w:val="24"/>
          <w:szCs w:val="24"/>
          <w:lang w:val="en-US"/>
        </w:rPr>
        <w:t>pneumonia</w:t>
      </w:r>
      <w:r w:rsidRPr="00950759">
        <w:rPr>
          <w:color w:val="000000"/>
          <w:sz w:val="24"/>
          <w:szCs w:val="24"/>
          <w:lang w:val="en-US"/>
        </w:rPr>
        <w:t>, focusing on settings where resources are limited, international healthcare professionals from high and low- and middle-income countries (LMICs) with known expertise in awake proning were invited to contribute expert advice.</w:t>
      </w:r>
      <w:r w:rsidRPr="005D3A2A">
        <w:rPr>
          <w:sz w:val="24"/>
          <w:szCs w:val="24"/>
          <w:lang w:val="en-US"/>
        </w:rPr>
        <w:t xml:space="preserve"> </w:t>
      </w:r>
    </w:p>
    <w:p w:rsidR="00422B17" w:rsidRPr="005D3A2A" w:rsidRDefault="00422B17" w:rsidP="00422B1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 growing number of observational studies describe the effects of awake proning in p</w:t>
      </w:r>
      <w:r w:rsidRPr="001F2B88">
        <w:rPr>
          <w:sz w:val="24"/>
          <w:szCs w:val="24"/>
          <w:lang w:val="en-US"/>
        </w:rPr>
        <w:t>atients with COVID-19</w:t>
      </w:r>
      <w:r w:rsidRPr="009C7978">
        <w:rPr>
          <w:sz w:val="24"/>
          <w:szCs w:val="24"/>
          <w:lang w:val="en-US"/>
        </w:rPr>
        <w:t xml:space="preserve"> </w:t>
      </w:r>
      <w:r w:rsidRPr="00393D75">
        <w:rPr>
          <w:sz w:val="24"/>
          <w:szCs w:val="24"/>
          <w:lang w:val="en-US"/>
        </w:rPr>
        <w:t>pneumonia</w:t>
      </w:r>
      <w:r>
        <w:rPr>
          <w:sz w:val="24"/>
          <w:szCs w:val="24"/>
          <w:lang w:val="en-US"/>
        </w:rPr>
        <w:t xml:space="preserve"> in whom </w:t>
      </w:r>
      <w:r w:rsidRPr="001F2B88">
        <w:rPr>
          <w:sz w:val="24"/>
          <w:szCs w:val="24"/>
          <w:lang w:val="en-US"/>
        </w:rPr>
        <w:t>hypoxemia</w:t>
      </w:r>
      <w:r>
        <w:rPr>
          <w:sz w:val="24"/>
          <w:szCs w:val="24"/>
          <w:lang w:val="en-US"/>
        </w:rPr>
        <w:t xml:space="preserve"> is refractory to simple measures of supplementary oxygen. Awake proning improves oxygenation in most patients, usually within minutes, and reduces dyspnea and work of breathing. </w:t>
      </w:r>
      <w:r w:rsidRPr="00990466">
        <w:rPr>
          <w:sz w:val="24"/>
          <w:szCs w:val="24"/>
          <w:lang w:val="en-US"/>
        </w:rPr>
        <w:t xml:space="preserve">The effects are maintained for up to </w:t>
      </w:r>
      <w:r>
        <w:rPr>
          <w:sz w:val="24"/>
          <w:szCs w:val="24"/>
          <w:lang w:val="en-US"/>
        </w:rPr>
        <w:t>one</w:t>
      </w:r>
      <w:r w:rsidRPr="00990466">
        <w:rPr>
          <w:sz w:val="24"/>
          <w:szCs w:val="24"/>
          <w:lang w:val="en-US"/>
        </w:rPr>
        <w:t xml:space="preserve"> hour after turning back </w:t>
      </w:r>
      <w:r w:rsidRPr="00393D75">
        <w:rPr>
          <w:sz w:val="24"/>
          <w:szCs w:val="24"/>
          <w:lang w:val="en-US"/>
        </w:rPr>
        <w:t>to</w:t>
      </w:r>
      <w:r w:rsidRPr="00990466">
        <w:rPr>
          <w:sz w:val="24"/>
          <w:szCs w:val="24"/>
          <w:lang w:val="en-US"/>
        </w:rPr>
        <w:t xml:space="preserve"> supine</w:t>
      </w:r>
      <w:r>
        <w:rPr>
          <w:sz w:val="24"/>
          <w:szCs w:val="24"/>
          <w:lang w:val="en-US"/>
        </w:rPr>
        <w:t xml:space="preserve">, </w:t>
      </w:r>
      <w:r w:rsidRPr="00393D75">
        <w:rPr>
          <w:sz w:val="24"/>
          <w:szCs w:val="24"/>
          <w:lang w:val="en-US"/>
        </w:rPr>
        <w:t xml:space="preserve">and mostly </w:t>
      </w:r>
      <w:proofErr w:type="gramStart"/>
      <w:r w:rsidRPr="00393D75">
        <w:rPr>
          <w:sz w:val="24"/>
          <w:szCs w:val="24"/>
          <w:lang w:val="en-US"/>
        </w:rPr>
        <w:t>disappear  after</w:t>
      </w:r>
      <w:proofErr w:type="gramEnd"/>
      <w:r w:rsidRPr="00393D75">
        <w:rPr>
          <w:sz w:val="24"/>
          <w:szCs w:val="24"/>
          <w:lang w:val="en-US"/>
        </w:rPr>
        <w:t xml:space="preserve"> 6 to 12 hours</w:t>
      </w:r>
      <w:r>
        <w:rPr>
          <w:sz w:val="24"/>
          <w:szCs w:val="24"/>
          <w:lang w:val="en-US"/>
        </w:rPr>
        <w:t xml:space="preserve">. </w:t>
      </w:r>
      <w:r w:rsidRPr="00235AF9">
        <w:rPr>
          <w:sz w:val="24"/>
          <w:szCs w:val="24"/>
          <w:lang w:val="en-US"/>
        </w:rPr>
        <w:t>In available studies, awake proning was not associated with a reduction in the rate of intubation for invasive ventilation.</w:t>
      </w:r>
      <w:r>
        <w:rPr>
          <w:sz w:val="24"/>
          <w:szCs w:val="24"/>
          <w:lang w:val="en-US"/>
        </w:rPr>
        <w:t xml:space="preserve"> Awake proning comes </w:t>
      </w:r>
      <w:r>
        <w:rPr>
          <w:sz w:val="24"/>
          <w:szCs w:val="24"/>
          <w:lang w:val="en-US"/>
        </w:rPr>
        <w:lastRenderedPageBreak/>
        <w:t xml:space="preserve">with little complications if properly </w:t>
      </w:r>
      <w:proofErr w:type="gramStart"/>
      <w:r>
        <w:rPr>
          <w:sz w:val="24"/>
          <w:szCs w:val="24"/>
          <w:lang w:val="en-US"/>
        </w:rPr>
        <w:t>implemented</w:t>
      </w:r>
      <w:proofErr w:type="gramEnd"/>
      <w:r>
        <w:rPr>
          <w:sz w:val="24"/>
          <w:szCs w:val="24"/>
          <w:lang w:val="en-US"/>
        </w:rPr>
        <w:t xml:space="preserve"> and monitored. Pragmatic recommendations including indications and contraindications </w:t>
      </w:r>
      <w:proofErr w:type="gramStart"/>
      <w:r>
        <w:rPr>
          <w:sz w:val="24"/>
          <w:szCs w:val="24"/>
          <w:lang w:val="en-US"/>
        </w:rPr>
        <w:t>were formulated and adjusted for resource-limited settings</w:t>
      </w:r>
      <w:proofErr w:type="gramEnd"/>
      <w:r>
        <w:rPr>
          <w:sz w:val="24"/>
          <w:szCs w:val="24"/>
          <w:lang w:val="en-US"/>
        </w:rPr>
        <w:t>.</w:t>
      </w:r>
    </w:p>
    <w:p w:rsidR="00422B17" w:rsidRDefault="00422B17" w:rsidP="00422B1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</w:t>
      </w:r>
      <w:r w:rsidRPr="00AC2FC4">
        <w:rPr>
          <w:sz w:val="24"/>
          <w:szCs w:val="24"/>
          <w:lang w:val="en-US"/>
        </w:rPr>
        <w:t>wake proning</w:t>
      </w:r>
      <w:r>
        <w:rPr>
          <w:sz w:val="24"/>
          <w:szCs w:val="24"/>
          <w:lang w:val="en-US"/>
        </w:rPr>
        <w:t xml:space="preserve">, an adjunctive treatment for hypoxemia refractory to supplemental oxygen seems safe </w:t>
      </w:r>
      <w:r w:rsidRPr="00AC2FC4">
        <w:rPr>
          <w:sz w:val="24"/>
          <w:szCs w:val="24"/>
          <w:lang w:val="en-US"/>
        </w:rPr>
        <w:t xml:space="preserve">in </w:t>
      </w:r>
      <w:r>
        <w:rPr>
          <w:sz w:val="24"/>
          <w:szCs w:val="24"/>
          <w:lang w:val="en-US"/>
        </w:rPr>
        <w:t xml:space="preserve">non-intubated patients with COVID-19 acute respiratory failure. We provide pragmatic recommendations </w:t>
      </w:r>
      <w:r w:rsidRPr="006D28E9">
        <w:rPr>
          <w:sz w:val="24"/>
          <w:szCs w:val="24"/>
          <w:lang w:val="en-US"/>
        </w:rPr>
        <w:t xml:space="preserve">including indications and contraindications </w:t>
      </w:r>
      <w:r>
        <w:rPr>
          <w:sz w:val="24"/>
          <w:szCs w:val="24"/>
          <w:lang w:val="en-US"/>
        </w:rPr>
        <w:t xml:space="preserve">for use of awake proning </w:t>
      </w:r>
      <w:r w:rsidRPr="00393D75">
        <w:rPr>
          <w:sz w:val="24"/>
          <w:szCs w:val="24"/>
          <w:lang w:val="en-US"/>
        </w:rPr>
        <w:t>in LMIC</w:t>
      </w:r>
      <w:r>
        <w:rPr>
          <w:sz w:val="24"/>
          <w:szCs w:val="24"/>
          <w:lang w:val="en-US"/>
        </w:rPr>
        <w:t>.</w:t>
      </w:r>
    </w:p>
    <w:p w:rsidR="00422B17" w:rsidRDefault="00422B17" w:rsidP="00422B17">
      <w:pPr>
        <w:rPr>
          <w:sz w:val="24"/>
          <w:szCs w:val="24"/>
          <w:lang w:val="en-US"/>
        </w:rPr>
      </w:pPr>
    </w:p>
    <w:p w:rsidR="00422B17" w:rsidRPr="00422B17" w:rsidRDefault="00422B17" w:rsidP="00422B17">
      <w:pPr>
        <w:ind w:firstLine="0"/>
        <w:rPr>
          <w:b/>
          <w:sz w:val="24"/>
          <w:szCs w:val="24"/>
          <w:lang w:val="en-US"/>
        </w:rPr>
      </w:pPr>
      <w:r w:rsidRPr="00422B17">
        <w:rPr>
          <w:b/>
          <w:sz w:val="24"/>
          <w:szCs w:val="24"/>
          <w:lang w:val="en-US"/>
        </w:rPr>
        <w:t>Reference publication:</w:t>
      </w:r>
    </w:p>
    <w:bookmarkStart w:id="0" w:name="_GoBack"/>
    <w:bookmarkEnd w:id="0"/>
    <w:p w:rsidR="00422B17" w:rsidRDefault="00422B17" w:rsidP="00422B17">
      <w:pPr>
        <w:ind w:firstLine="0"/>
      </w:pPr>
      <w:r>
        <w:fldChar w:fldCharType="begin"/>
      </w:r>
      <w:r>
        <w:instrText xml:space="preserve"> HYPERLINK "https://eur04.safelinks.protection.outlook.com/?url=https%3A%2F%2Fwww.ajtmh.org%2Fview%2Fjournals%2Ftpmd%2Faop%2Farticle-10.4269-ajtmh.20-1445%2Farticle-10.4269-ajtmh.20-1445.xml&amp;data=04%7C01%7Cw.stilma%40amsterdamumc.nl%7Cf4d50b6be90647f289f908d904ac22d4%7C68dfab1a11bb4cc6beb528d756984fb6%7C0%7C1%7C637545959636781018%7CUnknown%7CTWFpbGZsb3d8eyJWIjoiMC4wLjAwMDAiLCJQIjoiV2luMzIiLCJBTiI6Ik1haWwiLCJXVCI6Mn0%3D%7C3000&amp;sdata=Zq0hqtHJ36r%2F4sVCeQvziapEU0c9JspPrS5KiyuMaz4%3D&amp;reserved=0" </w:instrText>
      </w:r>
      <w:r>
        <w:fldChar w:fldCharType="separate"/>
      </w:r>
      <w:r>
        <w:rPr>
          <w:rStyle w:val="Hyperlink"/>
          <w:lang w:val="en-US"/>
        </w:rPr>
        <w:t>Awake Proning as an Adjunctive Therapy for Refractory Hypoxemia in Non-Intubated Patients with COVID-19 Acute Respiratory Failure: Guidance from an International Group of Healthcare Workers in: The American Journal of Tropical Medicine and Hygiene - Ahead of print (ajtmh.org)</w:t>
      </w:r>
      <w:r>
        <w:fldChar w:fldCharType="end"/>
      </w:r>
    </w:p>
    <w:p w:rsidR="00422B17" w:rsidRDefault="00422B17" w:rsidP="00422B1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:rsidR="00551477" w:rsidRPr="00422B17" w:rsidRDefault="00422B17">
      <w:pPr>
        <w:rPr>
          <w:lang w:val="en-US"/>
        </w:rPr>
      </w:pPr>
    </w:p>
    <w:sectPr w:rsidR="00551477" w:rsidRPr="00422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17"/>
    <w:rsid w:val="00422B17"/>
    <w:rsid w:val="0051359B"/>
    <w:rsid w:val="00675ACF"/>
    <w:rsid w:val="00AD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796ED"/>
  <w15:chartTrackingRefBased/>
  <w15:docId w15:val="{E159DD17-8CF7-4AC3-B88D-B7A613082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422B17"/>
    <w:rPr>
      <w:rFonts w:ascii="Arial" w:eastAsia="Arial" w:hAnsi="Arial" w:cs="Arial"/>
      <w:lang w:val="fr-FR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422B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431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Stilma, W.</dc:creator>
  <cp:keywords/>
  <dc:description/>
  <cp:lastModifiedBy>Stilma, W.</cp:lastModifiedBy>
  <cp:revision>1</cp:revision>
  <dcterms:created xsi:type="dcterms:W3CDTF">2021-04-22T06:03:00Z</dcterms:created>
  <dcterms:modified xsi:type="dcterms:W3CDTF">2021-04-22T06:07:00Z</dcterms:modified>
</cp:coreProperties>
</file>