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AA87B" w14:textId="77777777" w:rsidR="006E67C8" w:rsidRDefault="006E67C8"/>
    <w:p w14:paraId="25B5C341" w14:textId="77777777" w:rsidR="00F376B6" w:rsidRDefault="00F376B6">
      <w:pPr>
        <w:rPr>
          <w:b/>
          <w:bCs/>
        </w:rPr>
      </w:pPr>
    </w:p>
    <w:p w14:paraId="4910532E" w14:textId="12E9F8BE" w:rsidR="00F376B6" w:rsidRDefault="00F376B6" w:rsidP="00F376B6">
      <w:pPr>
        <w:rPr>
          <w:b/>
          <w:bCs/>
        </w:rPr>
      </w:pPr>
      <w:r w:rsidRPr="00F376B6">
        <w:rPr>
          <w:b/>
          <w:bCs/>
        </w:rPr>
        <w:t>Missed appo</w:t>
      </w:r>
      <w:r>
        <w:rPr>
          <w:b/>
          <w:bCs/>
        </w:rPr>
        <w:t>intments at maternal healthcar</w:t>
      </w:r>
      <w:r w:rsidRPr="00F376B6">
        <w:rPr>
          <w:b/>
          <w:bCs/>
        </w:rPr>
        <w:t xml:space="preserve"> centres in Riyadh city: reasons</w:t>
      </w:r>
      <w:r>
        <w:rPr>
          <w:b/>
          <w:bCs/>
        </w:rPr>
        <w:t xml:space="preserve"> </w:t>
      </w:r>
      <w:r w:rsidRPr="00F376B6">
        <w:rPr>
          <w:b/>
          <w:bCs/>
        </w:rPr>
        <w:t>and associated factors</w:t>
      </w:r>
    </w:p>
    <w:p w14:paraId="71F1EE21" w14:textId="2C288018" w:rsidR="009D78A7" w:rsidRPr="001122FD" w:rsidRDefault="006B5363">
      <w:pPr>
        <w:rPr>
          <w:rFonts w:asciiTheme="majorBidi" w:hAnsiTheme="majorBidi" w:cstheme="majorBidi"/>
          <w:sz w:val="20"/>
          <w:szCs w:val="20"/>
        </w:rPr>
      </w:pPr>
      <w:r w:rsidRPr="001122FD">
        <w:rPr>
          <w:rFonts w:asciiTheme="majorBidi" w:hAnsiTheme="majorBidi" w:cstheme="majorBidi"/>
          <w:sz w:val="20"/>
          <w:szCs w:val="20"/>
        </w:rPr>
        <w:t xml:space="preserve">Wdad </w:t>
      </w:r>
      <w:r w:rsidR="001122FD" w:rsidRPr="001122FD">
        <w:rPr>
          <w:rFonts w:asciiTheme="majorBidi" w:hAnsiTheme="majorBidi" w:cstheme="majorBidi"/>
          <w:sz w:val="20"/>
          <w:szCs w:val="20"/>
        </w:rPr>
        <w:t>Alanazy</w:t>
      </w:r>
      <w:r w:rsidRPr="001122FD">
        <w:rPr>
          <w:rFonts w:asciiTheme="majorBidi" w:hAnsiTheme="majorBidi" w:cstheme="majorBidi"/>
          <w:sz w:val="20"/>
          <w:szCs w:val="20"/>
        </w:rPr>
        <w:t xml:space="preserve">, </w:t>
      </w:r>
      <w:r w:rsidR="001122FD" w:rsidRPr="001122FD">
        <w:rPr>
          <w:rFonts w:asciiTheme="majorBidi" w:hAnsiTheme="majorBidi" w:cstheme="majorBidi"/>
          <w:sz w:val="20"/>
          <w:szCs w:val="20"/>
        </w:rPr>
        <w:t>Jaynei</w:t>
      </w:r>
      <w:r w:rsidRPr="001122FD">
        <w:rPr>
          <w:rFonts w:asciiTheme="majorBidi" w:hAnsiTheme="majorBidi" w:cstheme="majorBidi"/>
          <w:sz w:val="20"/>
          <w:szCs w:val="20"/>
        </w:rPr>
        <w:t xml:space="preserve"> Rance &amp; Amy Brown</w:t>
      </w:r>
    </w:p>
    <w:p w14:paraId="69495815" w14:textId="77777777" w:rsidR="006B5363" w:rsidRDefault="006B5363">
      <w:r w:rsidRPr="001122FD">
        <w:rPr>
          <w:rFonts w:asciiTheme="majorBidi" w:hAnsiTheme="majorBidi" w:cstheme="majorBidi"/>
          <w:sz w:val="20"/>
          <w:szCs w:val="20"/>
        </w:rPr>
        <w:t>Department of Public Health, Policy and Social Sciences, Swansea University, UK.</w:t>
      </w:r>
      <w:r>
        <w:t xml:space="preserve"> </w:t>
      </w:r>
    </w:p>
    <w:p w14:paraId="52059749" w14:textId="77777777" w:rsidR="006B5363" w:rsidRDefault="006B5363"/>
    <w:p w14:paraId="3B89B3D2" w14:textId="77777777" w:rsidR="009D78A7" w:rsidRPr="001122FD" w:rsidRDefault="009D78A7">
      <w:pPr>
        <w:rPr>
          <w:rFonts w:asciiTheme="majorBidi" w:hAnsiTheme="majorBidi" w:cstheme="majorBidi"/>
          <w:b/>
          <w:bCs/>
        </w:rPr>
      </w:pPr>
      <w:r w:rsidRPr="001122FD">
        <w:rPr>
          <w:rFonts w:asciiTheme="majorBidi" w:hAnsiTheme="majorBidi" w:cstheme="majorBidi"/>
          <w:b/>
          <w:bCs/>
        </w:rPr>
        <w:t>Abstract:</w:t>
      </w:r>
    </w:p>
    <w:p w14:paraId="2CC45323" w14:textId="77777777" w:rsidR="009D78A7" w:rsidRPr="001122FD" w:rsidRDefault="009D78A7">
      <w:pPr>
        <w:rPr>
          <w:rFonts w:asciiTheme="majorBidi" w:hAnsiTheme="majorBidi" w:cstheme="majorBidi"/>
          <w:b/>
          <w:bCs/>
        </w:rPr>
      </w:pPr>
      <w:r w:rsidRPr="001122FD">
        <w:rPr>
          <w:rFonts w:asciiTheme="majorBidi" w:hAnsiTheme="majorBidi" w:cstheme="majorBidi"/>
          <w:b/>
          <w:bCs/>
        </w:rPr>
        <w:t>Background:</w:t>
      </w:r>
    </w:p>
    <w:p w14:paraId="02B62303" w14:textId="77777777" w:rsidR="006B5363" w:rsidRPr="001122FD" w:rsidRDefault="006B5363" w:rsidP="009D78A7">
      <w:pPr>
        <w:rPr>
          <w:rFonts w:asciiTheme="majorBidi" w:hAnsiTheme="majorBidi" w:cstheme="majorBidi"/>
        </w:rPr>
      </w:pPr>
      <w:r w:rsidRPr="001122FD">
        <w:rPr>
          <w:rFonts w:asciiTheme="majorBidi" w:hAnsiTheme="majorBidi" w:cstheme="majorBidi"/>
        </w:rPr>
        <w:t xml:space="preserve">Pregnancy and childbirth related complications are a critical issue. The World Health Organisation estimates that complications during this time contribute to over 300,000 deaths of women and adolescent girls worldwide each year. Ninety nine per cent of these deaths occur in women with low income in developing countries. </w:t>
      </w:r>
    </w:p>
    <w:p w14:paraId="49DA3B21" w14:textId="7555AE4A" w:rsidR="009B2ABB" w:rsidRDefault="009B2ABB" w:rsidP="00751918">
      <w:pPr>
        <w:rPr>
          <w:rFonts w:asciiTheme="majorBidi" w:hAnsiTheme="majorBidi" w:cstheme="majorBidi"/>
        </w:rPr>
      </w:pPr>
      <w:r w:rsidRPr="009B2ABB">
        <w:rPr>
          <w:rFonts w:asciiTheme="majorBidi" w:hAnsiTheme="majorBidi" w:cstheme="majorBidi"/>
        </w:rPr>
        <w:t xml:space="preserve">In Saudi Arabia, the mortality rate due to variations in attendance of antenatal care clinics is credited to account for twenty-four maternal deaths in every 100,000 births while the lifetime hazard is one in every 1200 (Titaley, Hunter, Heywood &amp; </w:t>
      </w:r>
      <w:proofErr w:type="spellStart"/>
      <w:r w:rsidRPr="009B2ABB">
        <w:rPr>
          <w:rFonts w:asciiTheme="majorBidi" w:hAnsiTheme="majorBidi" w:cstheme="majorBidi"/>
        </w:rPr>
        <w:t>Dibley</w:t>
      </w:r>
      <w:proofErr w:type="spellEnd"/>
      <w:r w:rsidRPr="009B2ABB">
        <w:rPr>
          <w:rFonts w:asciiTheme="majorBidi" w:hAnsiTheme="majorBidi" w:cstheme="majorBidi"/>
        </w:rPr>
        <w:t xml:space="preserve">, 2010).  The primary factors attributed to the significant number of maternal and infant mortality rates in Saudi Arabia is linked to pregnancy complications and the barriers that hinder women from accessing antenatal care clinics. According to Almalki, (2014) the irregular coverage of antenatal care has driven a large population of pregnant women in Saudi Arabia to deliver at home without the assistance of skilled personnel. Only forty-four percent of Saudi Arabian births are managed by a qualified medical professional (Almalki, 2014). Between 2008 and 2015, the mortality rate due to pregnancy and new-born complications, and maternal problems represented a 12% of the Saudi total mortality </w:t>
      </w:r>
    </w:p>
    <w:p w14:paraId="66DA231F" w14:textId="541B398D" w:rsidR="009D78A7" w:rsidRPr="001122FD" w:rsidRDefault="00BD7EF6" w:rsidP="00751918">
      <w:pPr>
        <w:rPr>
          <w:rFonts w:asciiTheme="majorBidi" w:hAnsiTheme="majorBidi" w:cstheme="majorBidi"/>
        </w:rPr>
      </w:pPr>
      <w:r w:rsidRPr="001122FD">
        <w:rPr>
          <w:rFonts w:asciiTheme="majorBidi" w:hAnsiTheme="majorBidi" w:cstheme="majorBidi"/>
          <w:b/>
          <w:bCs/>
        </w:rPr>
        <w:t xml:space="preserve">Aims: </w:t>
      </w:r>
      <w:r w:rsidRPr="001122FD">
        <w:rPr>
          <w:rFonts w:asciiTheme="majorBidi" w:hAnsiTheme="majorBidi" w:cstheme="majorBidi"/>
        </w:rPr>
        <w:t xml:space="preserve">The main aims of this research were   to </w:t>
      </w:r>
      <w:r w:rsidR="00751918" w:rsidRPr="001122FD">
        <w:rPr>
          <w:rFonts w:asciiTheme="majorBidi" w:hAnsiTheme="majorBidi" w:cstheme="majorBidi"/>
        </w:rPr>
        <w:t xml:space="preserve">explore and understand the reasons </w:t>
      </w:r>
      <w:r w:rsidR="006B5363" w:rsidRPr="001122FD">
        <w:rPr>
          <w:rFonts w:asciiTheme="majorBidi" w:hAnsiTheme="majorBidi" w:cstheme="majorBidi"/>
        </w:rPr>
        <w:t xml:space="preserve">and barriers </w:t>
      </w:r>
      <w:r w:rsidR="00751918" w:rsidRPr="001122FD">
        <w:rPr>
          <w:rFonts w:asciiTheme="majorBidi" w:hAnsiTheme="majorBidi" w:cstheme="majorBidi"/>
        </w:rPr>
        <w:t xml:space="preserve">behind missing appointment and not attending </w:t>
      </w:r>
      <w:r w:rsidR="006B5363" w:rsidRPr="001122FD">
        <w:rPr>
          <w:rFonts w:asciiTheme="majorBidi" w:hAnsiTheme="majorBidi" w:cstheme="majorBidi"/>
        </w:rPr>
        <w:t>antenatal care</w:t>
      </w:r>
      <w:r w:rsidR="00751918" w:rsidRPr="001122FD">
        <w:rPr>
          <w:rFonts w:asciiTheme="majorBidi" w:hAnsiTheme="majorBidi" w:cstheme="majorBidi"/>
        </w:rPr>
        <w:t xml:space="preserve"> among Saudi women.</w:t>
      </w:r>
    </w:p>
    <w:p w14:paraId="59824456" w14:textId="15987232" w:rsidR="00BA7324" w:rsidRPr="001122FD" w:rsidRDefault="00751918" w:rsidP="001122FD">
      <w:pPr>
        <w:rPr>
          <w:rFonts w:asciiTheme="majorBidi" w:hAnsiTheme="majorBidi" w:cstheme="majorBidi"/>
        </w:rPr>
      </w:pPr>
      <w:r w:rsidRPr="001122FD">
        <w:rPr>
          <w:rFonts w:asciiTheme="majorBidi" w:hAnsiTheme="majorBidi" w:cstheme="majorBidi"/>
          <w:b/>
          <w:bCs/>
        </w:rPr>
        <w:t>Methods:</w:t>
      </w:r>
      <w:r w:rsidRPr="001122FD">
        <w:rPr>
          <w:rFonts w:asciiTheme="majorBidi" w:hAnsiTheme="majorBidi" w:cstheme="majorBidi"/>
        </w:rPr>
        <w:t xml:space="preserve"> </w:t>
      </w:r>
      <w:r w:rsidR="006B5363" w:rsidRPr="001122FD">
        <w:rPr>
          <w:rFonts w:asciiTheme="majorBidi" w:hAnsiTheme="majorBidi" w:cstheme="majorBidi"/>
        </w:rPr>
        <w:t xml:space="preserve">Semi structured </w:t>
      </w:r>
      <w:r w:rsidRPr="001122FD">
        <w:rPr>
          <w:rFonts w:asciiTheme="majorBidi" w:hAnsiTheme="majorBidi" w:cstheme="majorBidi"/>
        </w:rPr>
        <w:t>interviews</w:t>
      </w:r>
      <w:r w:rsidR="006B5363" w:rsidRPr="001122FD">
        <w:rPr>
          <w:rFonts w:asciiTheme="majorBidi" w:hAnsiTheme="majorBidi" w:cstheme="majorBidi"/>
        </w:rPr>
        <w:t xml:space="preserve"> were conducted</w:t>
      </w:r>
      <w:r w:rsidRPr="001122FD">
        <w:rPr>
          <w:rFonts w:asciiTheme="majorBidi" w:hAnsiTheme="majorBidi" w:cstheme="majorBidi"/>
        </w:rPr>
        <w:t xml:space="preserve"> </w:t>
      </w:r>
      <w:r w:rsidR="006B5363" w:rsidRPr="001122FD">
        <w:rPr>
          <w:rFonts w:asciiTheme="majorBidi" w:hAnsiTheme="majorBidi" w:cstheme="majorBidi"/>
        </w:rPr>
        <w:t>with</w:t>
      </w:r>
      <w:r w:rsidRPr="001122FD">
        <w:rPr>
          <w:rFonts w:asciiTheme="majorBidi" w:hAnsiTheme="majorBidi" w:cstheme="majorBidi"/>
        </w:rPr>
        <w:t xml:space="preserve"> 21 Saudi Women</w:t>
      </w:r>
      <w:r w:rsidR="001122FD">
        <w:rPr>
          <w:rFonts w:asciiTheme="majorBidi" w:hAnsiTheme="majorBidi" w:cstheme="majorBidi"/>
        </w:rPr>
        <w:t xml:space="preserve"> and 9 doctors </w:t>
      </w:r>
      <w:r w:rsidR="00CE5F92" w:rsidRPr="001122FD">
        <w:rPr>
          <w:rFonts w:asciiTheme="majorBidi" w:hAnsiTheme="majorBidi" w:cstheme="majorBidi"/>
        </w:rPr>
        <w:t>at three tertiary hospitals in Riyadh.</w:t>
      </w:r>
      <w:r w:rsidR="006B5363" w:rsidRPr="001122FD">
        <w:rPr>
          <w:rFonts w:asciiTheme="majorBidi" w:hAnsiTheme="majorBidi" w:cstheme="majorBidi"/>
        </w:rPr>
        <w:t xml:space="preserve"> For women, questions explored their attitudes towards antenatal care and any barriers they faced. For health care providers, questions explored their perceptions of why women do not attend antenatal care.  </w:t>
      </w:r>
    </w:p>
    <w:p w14:paraId="31BAEEF0" w14:textId="77777777" w:rsidR="00141444" w:rsidRDefault="00BA7324" w:rsidP="00B05E99">
      <w:pPr>
        <w:rPr>
          <w:rFonts w:asciiTheme="majorBidi" w:hAnsiTheme="majorBidi" w:cstheme="majorBidi"/>
        </w:rPr>
      </w:pPr>
      <w:r w:rsidRPr="001122FD">
        <w:rPr>
          <w:rFonts w:asciiTheme="majorBidi" w:hAnsiTheme="majorBidi" w:cstheme="majorBidi"/>
          <w:b/>
          <w:bCs/>
        </w:rPr>
        <w:t>Results</w:t>
      </w:r>
      <w:r w:rsidRPr="001122FD">
        <w:rPr>
          <w:rFonts w:asciiTheme="majorBidi" w:hAnsiTheme="majorBidi" w:cstheme="majorBidi"/>
        </w:rPr>
        <w:t>:</w:t>
      </w:r>
    </w:p>
    <w:p w14:paraId="11567FB9" w14:textId="77777777" w:rsidR="00141444" w:rsidRDefault="00141444" w:rsidP="00141444">
      <w:pPr>
        <w:rPr>
          <w:rFonts w:asciiTheme="majorBidi" w:hAnsiTheme="majorBidi" w:cstheme="majorBidi"/>
        </w:rPr>
      </w:pPr>
      <w:r w:rsidRPr="00141444">
        <w:rPr>
          <w:rFonts w:asciiTheme="majorBidi" w:hAnsiTheme="majorBidi" w:cstheme="majorBidi"/>
        </w:rPr>
        <w:t>Although ANC is generally reported to be important for maternal health, the findings highlighted integration of social and cultural influences</w:t>
      </w:r>
      <w:r>
        <w:rPr>
          <w:rFonts w:asciiTheme="majorBidi" w:hAnsiTheme="majorBidi" w:cstheme="majorBidi"/>
        </w:rPr>
        <w:t>. several</w:t>
      </w:r>
      <w:r w:rsidRPr="00141444">
        <w:rPr>
          <w:rFonts w:asciiTheme="majorBidi" w:hAnsiTheme="majorBidi" w:cstheme="majorBidi"/>
        </w:rPr>
        <w:t xml:space="preserve"> factors that affected the rate of antenatal attendance among the Saudi women. These factors were classified into three themes of physical barriers such as lack of transport, </w:t>
      </w:r>
      <w:r>
        <w:rPr>
          <w:rFonts w:asciiTheme="majorBidi" w:hAnsiTheme="majorBidi" w:cstheme="majorBidi"/>
        </w:rPr>
        <w:t xml:space="preserve">low level of </w:t>
      </w:r>
      <w:r w:rsidRPr="00141444">
        <w:rPr>
          <w:rFonts w:asciiTheme="majorBidi" w:hAnsiTheme="majorBidi" w:cstheme="majorBidi"/>
        </w:rPr>
        <w:t>education and healthcare facility inadequacies. The desire to avoid ANC clinics was motivated by individual and family perception as well as staff attitude towards the patients.</w:t>
      </w:r>
    </w:p>
    <w:p w14:paraId="139C63D9" w14:textId="3E6EA736" w:rsidR="00B05E99" w:rsidRDefault="00B05E99" w:rsidP="00141444">
      <w:pPr>
        <w:rPr>
          <w:rFonts w:asciiTheme="majorBidi" w:hAnsiTheme="majorBidi" w:cstheme="majorBidi"/>
        </w:rPr>
      </w:pPr>
      <w:r>
        <w:rPr>
          <w:rFonts w:asciiTheme="majorBidi" w:hAnsiTheme="majorBidi" w:cstheme="majorBidi"/>
        </w:rPr>
        <w:t xml:space="preserve">Professionals highlighted that the level of education and awareness regarded the important of antenatal care, transportation </w:t>
      </w:r>
      <w:r w:rsidR="00A10821">
        <w:rPr>
          <w:rFonts w:asciiTheme="majorBidi" w:hAnsiTheme="majorBidi" w:cstheme="majorBidi"/>
        </w:rPr>
        <w:t>accessibility and women‘s</w:t>
      </w:r>
      <w:r>
        <w:rPr>
          <w:rFonts w:asciiTheme="majorBidi" w:hAnsiTheme="majorBidi" w:cstheme="majorBidi"/>
        </w:rPr>
        <w:t xml:space="preserve"> believes were the barrier</w:t>
      </w:r>
      <w:r w:rsidR="00A10821">
        <w:rPr>
          <w:rFonts w:asciiTheme="majorBidi" w:hAnsiTheme="majorBidi" w:cstheme="majorBidi"/>
        </w:rPr>
        <w:t>s</w:t>
      </w:r>
      <w:r>
        <w:rPr>
          <w:rFonts w:asciiTheme="majorBidi" w:hAnsiTheme="majorBidi" w:cstheme="majorBidi"/>
        </w:rPr>
        <w:t xml:space="preserve"> affecting women to take advantage from antenatal care.</w:t>
      </w:r>
    </w:p>
    <w:p w14:paraId="3B1E5179" w14:textId="5BA671F1" w:rsidR="00B05E99" w:rsidRPr="001122FD" w:rsidRDefault="00B05E99" w:rsidP="00141444">
      <w:pPr>
        <w:rPr>
          <w:rFonts w:asciiTheme="majorBidi" w:hAnsiTheme="majorBidi" w:cstheme="majorBidi"/>
        </w:rPr>
      </w:pPr>
    </w:p>
    <w:p w14:paraId="53FAC839" w14:textId="77777777" w:rsidR="00BA7324" w:rsidRPr="001122FD" w:rsidRDefault="00BA7324" w:rsidP="004A5177">
      <w:pPr>
        <w:rPr>
          <w:rFonts w:asciiTheme="majorBidi" w:hAnsiTheme="majorBidi" w:cstheme="majorBidi"/>
          <w:b/>
          <w:bCs/>
        </w:rPr>
      </w:pPr>
      <w:r w:rsidRPr="001122FD">
        <w:rPr>
          <w:rFonts w:asciiTheme="majorBidi" w:hAnsiTheme="majorBidi" w:cstheme="majorBidi"/>
          <w:b/>
          <w:bCs/>
        </w:rPr>
        <w:t>Conclusion</w:t>
      </w:r>
    </w:p>
    <w:p w14:paraId="6F9862A3" w14:textId="0AC19A41" w:rsidR="00CE5F92" w:rsidRDefault="00E53F33">
      <w:pPr>
        <w:rPr>
          <w:rFonts w:asciiTheme="majorBidi" w:hAnsiTheme="majorBidi" w:cstheme="majorBidi"/>
        </w:rPr>
      </w:pPr>
      <w:r>
        <w:rPr>
          <w:rFonts w:asciiTheme="majorBidi" w:hAnsiTheme="majorBidi" w:cstheme="majorBidi"/>
        </w:rPr>
        <w:t xml:space="preserve">Based on the finding of study, a number of recommendations will be made to help women around the word to overcome the barriers that were identified to them accessing antenatal care. There is no ‘magic belt’ to overcoming constrains, instead, a comprehensive package of social and public health care approach is required. </w:t>
      </w:r>
    </w:p>
    <w:p w14:paraId="01CB4581" w14:textId="77777777" w:rsidR="00B05BC2" w:rsidRDefault="00B05BC2">
      <w:pPr>
        <w:rPr>
          <w:rFonts w:asciiTheme="majorBidi" w:hAnsiTheme="majorBidi" w:cstheme="majorBidi"/>
        </w:rPr>
      </w:pPr>
    </w:p>
    <w:p w14:paraId="6E3622DA" w14:textId="4BADF06F" w:rsidR="00B05BC2" w:rsidRDefault="00B05BC2">
      <w:pPr>
        <w:rPr>
          <w:rFonts w:asciiTheme="majorBidi" w:hAnsiTheme="majorBidi" w:cstheme="majorBidi"/>
        </w:rPr>
      </w:pPr>
      <w:r w:rsidRPr="00B05BC2">
        <w:rPr>
          <w:rFonts w:asciiTheme="majorBidi" w:hAnsiTheme="majorBidi" w:cstheme="majorBidi"/>
          <w:b/>
          <w:bCs/>
        </w:rPr>
        <w:t xml:space="preserve">Key words: </w:t>
      </w:r>
      <w:r>
        <w:rPr>
          <w:rFonts w:asciiTheme="majorBidi" w:hAnsiTheme="majorBidi" w:cstheme="majorBidi"/>
        </w:rPr>
        <w:t xml:space="preserve">antenatal </w:t>
      </w:r>
      <w:r w:rsidR="00926BD2">
        <w:rPr>
          <w:rFonts w:asciiTheme="majorBidi" w:hAnsiTheme="majorBidi" w:cstheme="majorBidi"/>
        </w:rPr>
        <w:t>care,</w:t>
      </w:r>
      <w:r>
        <w:rPr>
          <w:rFonts w:asciiTheme="majorBidi" w:hAnsiTheme="majorBidi" w:cstheme="majorBidi"/>
        </w:rPr>
        <w:t xml:space="preserve"> miss appointment, health believe </w:t>
      </w:r>
    </w:p>
    <w:p w14:paraId="3E3703CD" w14:textId="77777777" w:rsidR="00926BD2" w:rsidRDefault="00926BD2">
      <w:pPr>
        <w:rPr>
          <w:rFonts w:asciiTheme="majorBidi" w:hAnsiTheme="majorBidi" w:cstheme="majorBidi"/>
        </w:rPr>
      </w:pPr>
    </w:p>
    <w:p w14:paraId="76D7E959" w14:textId="556FA23C" w:rsidR="00926BD2" w:rsidRPr="00926BD2" w:rsidRDefault="00926BD2">
      <w:pPr>
        <w:rPr>
          <w:rFonts w:asciiTheme="majorBidi" w:hAnsiTheme="majorBidi" w:cstheme="majorBidi"/>
          <w:b/>
        </w:rPr>
      </w:pPr>
      <w:r w:rsidRPr="00926BD2">
        <w:rPr>
          <w:rFonts w:asciiTheme="majorBidi" w:hAnsiTheme="majorBidi" w:cstheme="majorBidi"/>
          <w:b/>
        </w:rPr>
        <w:t>Author biography:</w:t>
      </w:r>
    </w:p>
    <w:p w14:paraId="542005B9" w14:textId="7760A6B1" w:rsidR="00926BD2" w:rsidRDefault="00926BD2">
      <w:pPr>
        <w:rPr>
          <w:rFonts w:asciiTheme="majorBidi" w:hAnsiTheme="majorBidi" w:cstheme="majorBidi"/>
        </w:rPr>
      </w:pPr>
      <w:r w:rsidRPr="00926BD2">
        <w:rPr>
          <w:rFonts w:asciiTheme="majorBidi" w:hAnsiTheme="majorBidi" w:cstheme="majorBidi"/>
        </w:rPr>
        <w:t>Wdad Alanazy has three qualification degree, Bachelor degree from King Saud University in Saudi Arabia, then postgraduate midwifery diploma from Prince Sultan Medical City in Riyadh .Also she was completed her mater degree at the age of 30 years from King Saud University in Saudi Arabia and in the second year of PhD study in Swansea University in United Kingdom in nursing department. She is a lecturer in Majmaah Univer</w:t>
      </w:r>
      <w:bookmarkStart w:id="0" w:name="_GoBack"/>
      <w:bookmarkEnd w:id="0"/>
      <w:r w:rsidRPr="00926BD2">
        <w:rPr>
          <w:rFonts w:asciiTheme="majorBidi" w:hAnsiTheme="majorBidi" w:cstheme="majorBidi"/>
        </w:rPr>
        <w:t>sity in Saudi Arabia. She was clinical director of maternity building in Prince Sultan Medical City in Riyadh.</w:t>
      </w:r>
    </w:p>
    <w:p w14:paraId="14A2064F" w14:textId="6ECD35AD" w:rsidR="00926BD2" w:rsidRPr="00926BD2" w:rsidRDefault="00926BD2">
      <w:pPr>
        <w:rPr>
          <w:rFonts w:asciiTheme="majorBidi" w:hAnsiTheme="majorBidi" w:cstheme="majorBidi"/>
          <w:b/>
        </w:rPr>
      </w:pPr>
      <w:r w:rsidRPr="00926BD2">
        <w:rPr>
          <w:rFonts w:asciiTheme="majorBidi" w:hAnsiTheme="majorBidi" w:cstheme="majorBidi"/>
          <w:b/>
        </w:rPr>
        <w:t>References:</w:t>
      </w:r>
    </w:p>
    <w:p w14:paraId="4D06188F" w14:textId="77777777" w:rsidR="00926BD2" w:rsidRPr="00926BD2" w:rsidRDefault="00926BD2" w:rsidP="00926BD2">
      <w:pPr>
        <w:rPr>
          <w:rFonts w:asciiTheme="majorBidi" w:hAnsiTheme="majorBidi" w:cstheme="majorBidi"/>
        </w:rPr>
      </w:pPr>
      <w:proofErr w:type="gramStart"/>
      <w:r w:rsidRPr="00926BD2">
        <w:rPr>
          <w:rFonts w:asciiTheme="majorBidi" w:hAnsiTheme="majorBidi" w:cstheme="majorBidi"/>
        </w:rPr>
        <w:t>Al-</w:t>
      </w:r>
      <w:proofErr w:type="spellStart"/>
      <w:r w:rsidRPr="00926BD2">
        <w:rPr>
          <w:rFonts w:asciiTheme="majorBidi" w:hAnsiTheme="majorBidi" w:cstheme="majorBidi"/>
        </w:rPr>
        <w:t>Ateeq</w:t>
      </w:r>
      <w:proofErr w:type="spellEnd"/>
      <w:r w:rsidRPr="00926BD2">
        <w:rPr>
          <w:rFonts w:asciiTheme="majorBidi" w:hAnsiTheme="majorBidi" w:cstheme="majorBidi"/>
        </w:rPr>
        <w:t>, M. A., &amp; Al-</w:t>
      </w:r>
      <w:proofErr w:type="spellStart"/>
      <w:r w:rsidRPr="00926BD2">
        <w:rPr>
          <w:rFonts w:asciiTheme="majorBidi" w:hAnsiTheme="majorBidi" w:cstheme="majorBidi"/>
        </w:rPr>
        <w:t>Rusaiess</w:t>
      </w:r>
      <w:proofErr w:type="spellEnd"/>
      <w:r w:rsidRPr="00926BD2">
        <w:rPr>
          <w:rFonts w:asciiTheme="majorBidi" w:hAnsiTheme="majorBidi" w:cstheme="majorBidi"/>
        </w:rPr>
        <w:t>, A. A. (2015).</w:t>
      </w:r>
      <w:proofErr w:type="gramEnd"/>
      <w:r w:rsidRPr="00926BD2">
        <w:rPr>
          <w:rFonts w:asciiTheme="majorBidi" w:hAnsiTheme="majorBidi" w:cstheme="majorBidi"/>
        </w:rPr>
        <w:t xml:space="preserve"> Health education during antenatal care: the need for more. </w:t>
      </w:r>
      <w:proofErr w:type="gramStart"/>
      <w:r w:rsidRPr="00926BD2">
        <w:rPr>
          <w:rFonts w:asciiTheme="majorBidi" w:hAnsiTheme="majorBidi" w:cstheme="majorBidi"/>
        </w:rPr>
        <w:t>International journal of women's health, 7, 239.</w:t>
      </w:r>
      <w:proofErr w:type="gramEnd"/>
    </w:p>
    <w:p w14:paraId="7DE8FAFD" w14:textId="77777777" w:rsidR="00926BD2" w:rsidRPr="00926BD2" w:rsidRDefault="00926BD2" w:rsidP="00926BD2">
      <w:pPr>
        <w:rPr>
          <w:rFonts w:asciiTheme="majorBidi" w:hAnsiTheme="majorBidi" w:cstheme="majorBidi"/>
        </w:rPr>
      </w:pPr>
      <w:r w:rsidRPr="00926BD2">
        <w:rPr>
          <w:rFonts w:asciiTheme="majorBidi" w:hAnsiTheme="majorBidi" w:cstheme="majorBidi"/>
        </w:rPr>
        <w:t xml:space="preserve">Almalki, A. (2014). </w:t>
      </w:r>
      <w:proofErr w:type="gramStart"/>
      <w:r w:rsidRPr="00926BD2">
        <w:rPr>
          <w:rFonts w:asciiTheme="majorBidi" w:hAnsiTheme="majorBidi" w:cstheme="majorBidi"/>
        </w:rPr>
        <w:t xml:space="preserve">"Missed appointments at maternal healthcare clinics in primary healthcare </w:t>
      </w:r>
      <w:proofErr w:type="spellStart"/>
      <w:r w:rsidRPr="00926BD2">
        <w:rPr>
          <w:rFonts w:asciiTheme="majorBidi" w:hAnsiTheme="majorBidi" w:cstheme="majorBidi"/>
        </w:rPr>
        <w:t>centers</w:t>
      </w:r>
      <w:proofErr w:type="spellEnd"/>
      <w:r w:rsidRPr="00926BD2">
        <w:rPr>
          <w:rFonts w:asciiTheme="majorBidi" w:hAnsiTheme="majorBidi" w:cstheme="majorBidi"/>
        </w:rPr>
        <w:t xml:space="preserve"> in Riyadh city: reasons and associated factors."</w:t>
      </w:r>
      <w:proofErr w:type="gramEnd"/>
      <w:r w:rsidRPr="00926BD2">
        <w:rPr>
          <w:rFonts w:asciiTheme="majorBidi" w:hAnsiTheme="majorBidi" w:cstheme="majorBidi"/>
        </w:rPr>
        <w:t xml:space="preserve"> </w:t>
      </w:r>
      <w:proofErr w:type="gramStart"/>
      <w:r w:rsidRPr="00926BD2">
        <w:rPr>
          <w:rFonts w:asciiTheme="majorBidi" w:hAnsiTheme="majorBidi" w:cstheme="majorBidi"/>
        </w:rPr>
        <w:t>Journal of Hospital Administration 3(4).</w:t>
      </w:r>
      <w:proofErr w:type="gramEnd"/>
    </w:p>
    <w:p w14:paraId="6DF1C254" w14:textId="77777777" w:rsidR="00926BD2" w:rsidRPr="00926BD2" w:rsidRDefault="00926BD2" w:rsidP="00926BD2">
      <w:pPr>
        <w:rPr>
          <w:rFonts w:asciiTheme="majorBidi" w:hAnsiTheme="majorBidi" w:cstheme="majorBidi"/>
        </w:rPr>
      </w:pPr>
      <w:proofErr w:type="spellStart"/>
      <w:r w:rsidRPr="00926BD2">
        <w:rPr>
          <w:rFonts w:asciiTheme="majorBidi" w:hAnsiTheme="majorBidi" w:cstheme="majorBidi"/>
        </w:rPr>
        <w:t>Alkhamis</w:t>
      </w:r>
      <w:proofErr w:type="spellEnd"/>
      <w:r w:rsidRPr="00926BD2">
        <w:rPr>
          <w:rFonts w:asciiTheme="majorBidi" w:hAnsiTheme="majorBidi" w:cstheme="majorBidi"/>
        </w:rPr>
        <w:t>, A. (2012). Health care system in Saudi Arabia: an overview. Eastern Mediterranean Health Journal, 18(10), 1078-1080.</w:t>
      </w:r>
    </w:p>
    <w:p w14:paraId="6EB90B78" w14:textId="77777777" w:rsidR="00926BD2" w:rsidRPr="00926BD2" w:rsidRDefault="00926BD2" w:rsidP="00926BD2">
      <w:pPr>
        <w:rPr>
          <w:rFonts w:asciiTheme="majorBidi" w:hAnsiTheme="majorBidi" w:cstheme="majorBidi"/>
        </w:rPr>
      </w:pPr>
      <w:r w:rsidRPr="00926BD2">
        <w:rPr>
          <w:rFonts w:asciiTheme="majorBidi" w:hAnsiTheme="majorBidi" w:cstheme="majorBidi"/>
        </w:rPr>
        <w:t xml:space="preserve">Andrew, E.V.W., Pell, C., </w:t>
      </w:r>
      <w:proofErr w:type="spellStart"/>
      <w:r w:rsidRPr="00926BD2">
        <w:rPr>
          <w:rFonts w:asciiTheme="majorBidi" w:hAnsiTheme="majorBidi" w:cstheme="majorBidi"/>
        </w:rPr>
        <w:t>Angwin</w:t>
      </w:r>
      <w:proofErr w:type="spellEnd"/>
      <w:r w:rsidRPr="00926BD2">
        <w:rPr>
          <w:rFonts w:asciiTheme="majorBidi" w:hAnsiTheme="majorBidi" w:cstheme="majorBidi"/>
        </w:rPr>
        <w:t xml:space="preserve">, A., </w:t>
      </w:r>
      <w:proofErr w:type="spellStart"/>
      <w:r w:rsidRPr="00926BD2">
        <w:rPr>
          <w:rFonts w:asciiTheme="majorBidi" w:hAnsiTheme="majorBidi" w:cstheme="majorBidi"/>
        </w:rPr>
        <w:t>Auwun</w:t>
      </w:r>
      <w:proofErr w:type="spellEnd"/>
      <w:r w:rsidRPr="00926BD2">
        <w:rPr>
          <w:rFonts w:asciiTheme="majorBidi" w:hAnsiTheme="majorBidi" w:cstheme="majorBidi"/>
        </w:rPr>
        <w:t>, A., Daniels, J., Mueller, I</w:t>
      </w:r>
      <w:proofErr w:type="gramStart"/>
      <w:r w:rsidRPr="00926BD2">
        <w:rPr>
          <w:rFonts w:asciiTheme="majorBidi" w:hAnsiTheme="majorBidi" w:cstheme="majorBidi"/>
        </w:rPr>
        <w:t>., . . .</w:t>
      </w:r>
      <w:proofErr w:type="gramEnd"/>
      <w:r w:rsidRPr="00926BD2">
        <w:rPr>
          <w:rFonts w:asciiTheme="majorBidi" w:hAnsiTheme="majorBidi" w:cstheme="majorBidi"/>
        </w:rPr>
        <w:t xml:space="preserve"> Anthropology of Health, Care the Body. (2014). Factors affecting attendance at and timing of formal antenatal care: Results from a qualitative study in </w:t>
      </w:r>
      <w:proofErr w:type="spellStart"/>
      <w:r w:rsidRPr="00926BD2">
        <w:rPr>
          <w:rFonts w:asciiTheme="majorBidi" w:hAnsiTheme="majorBidi" w:cstheme="majorBidi"/>
        </w:rPr>
        <w:t>Madang</w:t>
      </w:r>
      <w:proofErr w:type="spellEnd"/>
      <w:r w:rsidRPr="00926BD2">
        <w:rPr>
          <w:rFonts w:asciiTheme="majorBidi" w:hAnsiTheme="majorBidi" w:cstheme="majorBidi"/>
        </w:rPr>
        <w:t xml:space="preserve">, Papua New Guinea. </w:t>
      </w:r>
      <w:proofErr w:type="spellStart"/>
      <w:r w:rsidRPr="00926BD2">
        <w:rPr>
          <w:rFonts w:asciiTheme="majorBidi" w:hAnsiTheme="majorBidi" w:cstheme="majorBidi"/>
        </w:rPr>
        <w:t>PLoS</w:t>
      </w:r>
      <w:proofErr w:type="spellEnd"/>
      <w:r w:rsidRPr="00926BD2">
        <w:rPr>
          <w:rFonts w:asciiTheme="majorBidi" w:hAnsiTheme="majorBidi" w:cstheme="majorBidi"/>
        </w:rPr>
        <w:t xml:space="preserve"> One, 9(5), Urn</w:t>
      </w:r>
      <w:proofErr w:type="gramStart"/>
      <w:r w:rsidRPr="00926BD2">
        <w:rPr>
          <w:rFonts w:asciiTheme="majorBidi" w:hAnsiTheme="majorBidi" w:cstheme="majorBidi"/>
        </w:rPr>
        <w:t>:issn:1932</w:t>
      </w:r>
      <w:proofErr w:type="gramEnd"/>
      <w:r w:rsidRPr="00926BD2">
        <w:rPr>
          <w:rFonts w:asciiTheme="majorBidi" w:hAnsiTheme="majorBidi" w:cstheme="majorBidi"/>
        </w:rPr>
        <w:t>-6203.</w:t>
      </w:r>
    </w:p>
    <w:p w14:paraId="4BF9FDA5" w14:textId="77777777" w:rsidR="00926BD2" w:rsidRPr="00926BD2" w:rsidRDefault="00926BD2" w:rsidP="00926BD2">
      <w:pPr>
        <w:rPr>
          <w:rFonts w:asciiTheme="majorBidi" w:hAnsiTheme="majorBidi" w:cstheme="majorBidi"/>
        </w:rPr>
      </w:pPr>
      <w:r w:rsidRPr="00926BD2">
        <w:rPr>
          <w:rFonts w:asciiTheme="majorBidi" w:hAnsiTheme="majorBidi" w:cstheme="majorBidi"/>
        </w:rPr>
        <w:t xml:space="preserve">Agus Y. (2012). </w:t>
      </w:r>
      <w:proofErr w:type="gramStart"/>
      <w:r w:rsidRPr="00926BD2">
        <w:rPr>
          <w:rFonts w:asciiTheme="majorBidi" w:hAnsiTheme="majorBidi" w:cstheme="majorBidi"/>
        </w:rPr>
        <w:t>Factors influencing the use of antenatal care in rural West Sumatra, Indonesia.</w:t>
      </w:r>
      <w:proofErr w:type="gramEnd"/>
      <w:r w:rsidRPr="00926BD2">
        <w:rPr>
          <w:rFonts w:asciiTheme="majorBidi" w:hAnsiTheme="majorBidi" w:cstheme="majorBidi"/>
        </w:rPr>
        <w:t xml:space="preserve"> </w:t>
      </w:r>
      <w:proofErr w:type="gramStart"/>
      <w:r w:rsidRPr="00926BD2">
        <w:rPr>
          <w:rFonts w:asciiTheme="majorBidi" w:hAnsiTheme="majorBidi" w:cstheme="majorBidi"/>
        </w:rPr>
        <w:t>(Vol. 12).</w:t>
      </w:r>
      <w:proofErr w:type="gramEnd"/>
    </w:p>
    <w:p w14:paraId="508470F1" w14:textId="77777777" w:rsidR="00926BD2" w:rsidRPr="00926BD2" w:rsidRDefault="00926BD2" w:rsidP="00926BD2">
      <w:pPr>
        <w:rPr>
          <w:rFonts w:asciiTheme="majorBidi" w:hAnsiTheme="majorBidi" w:cstheme="majorBidi"/>
        </w:rPr>
      </w:pPr>
      <w:r w:rsidRPr="00926BD2">
        <w:rPr>
          <w:rFonts w:asciiTheme="majorBidi" w:hAnsiTheme="majorBidi" w:cstheme="majorBidi"/>
        </w:rPr>
        <w:t xml:space="preserve">Bloor M, Wood F. (2006). Keywords in Qualitative Methods: A Vocabulary of Research Concepts (1st </w:t>
      </w:r>
      <w:proofErr w:type="spellStart"/>
      <w:r w:rsidRPr="00926BD2">
        <w:rPr>
          <w:rFonts w:asciiTheme="majorBidi" w:hAnsiTheme="majorBidi" w:cstheme="majorBidi"/>
        </w:rPr>
        <w:t>edn</w:t>
      </w:r>
      <w:proofErr w:type="spellEnd"/>
      <w:r w:rsidRPr="00926BD2">
        <w:rPr>
          <w:rFonts w:asciiTheme="majorBidi" w:hAnsiTheme="majorBidi" w:cstheme="majorBidi"/>
        </w:rPr>
        <w:t>). London: SAGE Publications.</w:t>
      </w:r>
    </w:p>
    <w:p w14:paraId="03EDAAC4" w14:textId="77777777" w:rsidR="00926BD2" w:rsidRPr="00926BD2" w:rsidRDefault="00926BD2" w:rsidP="00926BD2">
      <w:pPr>
        <w:rPr>
          <w:rFonts w:asciiTheme="majorBidi" w:hAnsiTheme="majorBidi" w:cstheme="majorBidi"/>
        </w:rPr>
      </w:pPr>
      <w:proofErr w:type="gramStart"/>
      <w:r w:rsidRPr="00926BD2">
        <w:rPr>
          <w:rFonts w:asciiTheme="majorBidi" w:hAnsiTheme="majorBidi" w:cstheme="majorBidi"/>
        </w:rPr>
        <w:t>Bryman, A., &amp; Bell, E. (2015).</w:t>
      </w:r>
      <w:proofErr w:type="gramEnd"/>
      <w:r w:rsidRPr="00926BD2">
        <w:rPr>
          <w:rFonts w:asciiTheme="majorBidi" w:hAnsiTheme="majorBidi" w:cstheme="majorBidi"/>
        </w:rPr>
        <w:t xml:space="preserve"> </w:t>
      </w:r>
      <w:proofErr w:type="gramStart"/>
      <w:r w:rsidRPr="00926BD2">
        <w:rPr>
          <w:rFonts w:asciiTheme="majorBidi" w:hAnsiTheme="majorBidi" w:cstheme="majorBidi"/>
        </w:rPr>
        <w:t>Business research methods.</w:t>
      </w:r>
      <w:proofErr w:type="gramEnd"/>
      <w:r w:rsidRPr="00926BD2">
        <w:rPr>
          <w:rFonts w:asciiTheme="majorBidi" w:hAnsiTheme="majorBidi" w:cstheme="majorBidi"/>
        </w:rPr>
        <w:t xml:space="preserve"> Oxford University Press, USA.</w:t>
      </w:r>
    </w:p>
    <w:p w14:paraId="4FBCD32E" w14:textId="77777777" w:rsidR="00926BD2" w:rsidRPr="00926BD2" w:rsidRDefault="00926BD2" w:rsidP="00926BD2">
      <w:pPr>
        <w:rPr>
          <w:rFonts w:asciiTheme="majorBidi" w:hAnsiTheme="majorBidi" w:cstheme="majorBidi"/>
        </w:rPr>
      </w:pPr>
      <w:r w:rsidRPr="00926BD2">
        <w:rPr>
          <w:rFonts w:asciiTheme="majorBidi" w:hAnsiTheme="majorBidi" w:cstheme="majorBidi"/>
        </w:rPr>
        <w:t xml:space="preserve">Bryman, A. (2012). </w:t>
      </w:r>
      <w:proofErr w:type="gramStart"/>
      <w:r w:rsidRPr="00926BD2">
        <w:rPr>
          <w:rFonts w:asciiTheme="majorBidi" w:hAnsiTheme="majorBidi" w:cstheme="majorBidi"/>
        </w:rPr>
        <w:t>Social research methods.</w:t>
      </w:r>
      <w:proofErr w:type="gramEnd"/>
      <w:r w:rsidRPr="00926BD2">
        <w:rPr>
          <w:rFonts w:asciiTheme="majorBidi" w:hAnsiTheme="majorBidi" w:cstheme="majorBidi"/>
        </w:rPr>
        <w:t xml:space="preserve"> Alan Bryman. (4th </w:t>
      </w:r>
      <w:proofErr w:type="gramStart"/>
      <w:r w:rsidRPr="00926BD2">
        <w:rPr>
          <w:rFonts w:asciiTheme="majorBidi" w:hAnsiTheme="majorBidi" w:cstheme="majorBidi"/>
        </w:rPr>
        <w:t>ed</w:t>
      </w:r>
      <w:proofErr w:type="gramEnd"/>
      <w:r w:rsidRPr="00926BD2">
        <w:rPr>
          <w:rFonts w:asciiTheme="majorBidi" w:hAnsiTheme="majorBidi" w:cstheme="majorBidi"/>
        </w:rPr>
        <w:t>.). Oxford: Oxford University Press.</w:t>
      </w:r>
    </w:p>
    <w:p w14:paraId="19FE6B79" w14:textId="77777777" w:rsidR="00926BD2" w:rsidRPr="00926BD2" w:rsidRDefault="00926BD2" w:rsidP="00926BD2">
      <w:pPr>
        <w:rPr>
          <w:rFonts w:asciiTheme="majorBidi" w:hAnsiTheme="majorBidi" w:cstheme="majorBidi"/>
        </w:rPr>
      </w:pPr>
      <w:r w:rsidRPr="00926BD2">
        <w:rPr>
          <w:rFonts w:asciiTheme="majorBidi" w:hAnsiTheme="majorBidi" w:cstheme="majorBidi"/>
        </w:rPr>
        <w:t xml:space="preserve">Chapman, R. R. (2003). </w:t>
      </w:r>
      <w:proofErr w:type="gramStart"/>
      <w:r w:rsidRPr="00926BD2">
        <w:rPr>
          <w:rFonts w:asciiTheme="majorBidi" w:hAnsiTheme="majorBidi" w:cstheme="majorBidi"/>
        </w:rPr>
        <w:t>"Endangering safe motherhood in Mozambique: prenatal care as pregnancy risk."</w:t>
      </w:r>
      <w:proofErr w:type="gramEnd"/>
      <w:r w:rsidRPr="00926BD2">
        <w:rPr>
          <w:rFonts w:asciiTheme="majorBidi" w:hAnsiTheme="majorBidi" w:cstheme="majorBidi"/>
        </w:rPr>
        <w:t xml:space="preserve"> Social science &amp; </w:t>
      </w:r>
      <w:proofErr w:type="gramStart"/>
      <w:r w:rsidRPr="00926BD2">
        <w:rPr>
          <w:rFonts w:asciiTheme="majorBidi" w:hAnsiTheme="majorBidi" w:cstheme="majorBidi"/>
        </w:rPr>
        <w:t>medicine57(</w:t>
      </w:r>
      <w:proofErr w:type="gramEnd"/>
      <w:r w:rsidRPr="00926BD2">
        <w:rPr>
          <w:rFonts w:asciiTheme="majorBidi" w:hAnsiTheme="majorBidi" w:cstheme="majorBidi"/>
        </w:rPr>
        <w:t>2): 355-374.</w:t>
      </w:r>
    </w:p>
    <w:p w14:paraId="506DB9AD" w14:textId="77777777" w:rsidR="00926BD2" w:rsidRPr="00926BD2" w:rsidRDefault="00926BD2" w:rsidP="00926BD2">
      <w:pPr>
        <w:rPr>
          <w:rFonts w:asciiTheme="majorBidi" w:hAnsiTheme="majorBidi" w:cstheme="majorBidi"/>
        </w:rPr>
      </w:pPr>
      <w:proofErr w:type="gramStart"/>
      <w:r w:rsidRPr="00926BD2">
        <w:rPr>
          <w:rFonts w:asciiTheme="majorBidi" w:hAnsiTheme="majorBidi" w:cstheme="majorBidi"/>
        </w:rPr>
        <w:lastRenderedPageBreak/>
        <w:t xml:space="preserve">De </w:t>
      </w:r>
      <w:proofErr w:type="spellStart"/>
      <w:r w:rsidRPr="00926BD2">
        <w:rPr>
          <w:rFonts w:asciiTheme="majorBidi" w:hAnsiTheme="majorBidi" w:cstheme="majorBidi"/>
        </w:rPr>
        <w:t>Wever</w:t>
      </w:r>
      <w:proofErr w:type="spellEnd"/>
      <w:r w:rsidRPr="00926BD2">
        <w:rPr>
          <w:rFonts w:asciiTheme="majorBidi" w:hAnsiTheme="majorBidi" w:cstheme="majorBidi"/>
        </w:rPr>
        <w:t xml:space="preserve">, B., </w:t>
      </w:r>
      <w:proofErr w:type="spellStart"/>
      <w:r w:rsidRPr="00926BD2">
        <w:rPr>
          <w:rFonts w:asciiTheme="majorBidi" w:hAnsiTheme="majorBidi" w:cstheme="majorBidi"/>
        </w:rPr>
        <w:t>Schellens</w:t>
      </w:r>
      <w:proofErr w:type="spellEnd"/>
      <w:r w:rsidRPr="00926BD2">
        <w:rPr>
          <w:rFonts w:asciiTheme="majorBidi" w:hAnsiTheme="majorBidi" w:cstheme="majorBidi"/>
        </w:rPr>
        <w:t xml:space="preserve">, T., </w:t>
      </w:r>
      <w:proofErr w:type="spellStart"/>
      <w:r w:rsidRPr="00926BD2">
        <w:rPr>
          <w:rFonts w:asciiTheme="majorBidi" w:hAnsiTheme="majorBidi" w:cstheme="majorBidi"/>
        </w:rPr>
        <w:t>Valcke</w:t>
      </w:r>
      <w:proofErr w:type="spellEnd"/>
      <w:r w:rsidRPr="00926BD2">
        <w:rPr>
          <w:rFonts w:asciiTheme="majorBidi" w:hAnsiTheme="majorBidi" w:cstheme="majorBidi"/>
        </w:rPr>
        <w:t xml:space="preserve">, M., &amp; Van </w:t>
      </w:r>
      <w:proofErr w:type="spellStart"/>
      <w:r w:rsidRPr="00926BD2">
        <w:rPr>
          <w:rFonts w:asciiTheme="majorBidi" w:hAnsiTheme="majorBidi" w:cstheme="majorBidi"/>
        </w:rPr>
        <w:t>Keer</w:t>
      </w:r>
      <w:proofErr w:type="spellEnd"/>
      <w:r w:rsidRPr="00926BD2">
        <w:rPr>
          <w:rFonts w:asciiTheme="majorBidi" w:hAnsiTheme="majorBidi" w:cstheme="majorBidi"/>
        </w:rPr>
        <w:t>, H. (2006).</w:t>
      </w:r>
      <w:proofErr w:type="gramEnd"/>
      <w:r w:rsidRPr="00926BD2">
        <w:rPr>
          <w:rFonts w:asciiTheme="majorBidi" w:hAnsiTheme="majorBidi" w:cstheme="majorBidi"/>
        </w:rPr>
        <w:t xml:space="preserve"> Content analysis schemes to </w:t>
      </w:r>
      <w:proofErr w:type="spellStart"/>
      <w:r w:rsidRPr="00926BD2">
        <w:rPr>
          <w:rFonts w:asciiTheme="majorBidi" w:hAnsiTheme="majorBidi" w:cstheme="majorBidi"/>
        </w:rPr>
        <w:t>analyze</w:t>
      </w:r>
      <w:proofErr w:type="spellEnd"/>
      <w:r w:rsidRPr="00926BD2">
        <w:rPr>
          <w:rFonts w:asciiTheme="majorBidi" w:hAnsiTheme="majorBidi" w:cstheme="majorBidi"/>
        </w:rPr>
        <w:t xml:space="preserve"> transcripts of online asynchronous discussion groups: A review. Computer &amp; Education, 46, 6-28.</w:t>
      </w:r>
    </w:p>
    <w:p w14:paraId="1C790EF2" w14:textId="77777777" w:rsidR="00926BD2" w:rsidRPr="00926BD2" w:rsidRDefault="00926BD2" w:rsidP="00926BD2">
      <w:pPr>
        <w:rPr>
          <w:rFonts w:asciiTheme="majorBidi" w:hAnsiTheme="majorBidi" w:cstheme="majorBidi"/>
        </w:rPr>
      </w:pPr>
      <w:r w:rsidRPr="00926BD2">
        <w:rPr>
          <w:rFonts w:asciiTheme="majorBidi" w:hAnsiTheme="majorBidi" w:cstheme="majorBidi"/>
        </w:rPr>
        <w:t xml:space="preserve">El </w:t>
      </w:r>
      <w:proofErr w:type="spellStart"/>
      <w:r w:rsidRPr="00926BD2">
        <w:rPr>
          <w:rFonts w:asciiTheme="majorBidi" w:hAnsiTheme="majorBidi" w:cstheme="majorBidi"/>
        </w:rPr>
        <w:t>Bcheraoui</w:t>
      </w:r>
      <w:proofErr w:type="spellEnd"/>
      <w:r w:rsidRPr="00926BD2">
        <w:rPr>
          <w:rFonts w:asciiTheme="majorBidi" w:hAnsiTheme="majorBidi" w:cstheme="majorBidi"/>
        </w:rPr>
        <w:t xml:space="preserve">, C., </w:t>
      </w:r>
      <w:proofErr w:type="spellStart"/>
      <w:r w:rsidRPr="00926BD2">
        <w:rPr>
          <w:rFonts w:asciiTheme="majorBidi" w:hAnsiTheme="majorBidi" w:cstheme="majorBidi"/>
        </w:rPr>
        <w:t>Tuffaha</w:t>
      </w:r>
      <w:proofErr w:type="spellEnd"/>
      <w:r w:rsidRPr="00926BD2">
        <w:rPr>
          <w:rFonts w:asciiTheme="majorBidi" w:hAnsiTheme="majorBidi" w:cstheme="majorBidi"/>
        </w:rPr>
        <w:t xml:space="preserve">, M., </w:t>
      </w:r>
      <w:proofErr w:type="spellStart"/>
      <w:r w:rsidRPr="00926BD2">
        <w:rPr>
          <w:rFonts w:asciiTheme="majorBidi" w:hAnsiTheme="majorBidi" w:cstheme="majorBidi"/>
        </w:rPr>
        <w:t>Daoud</w:t>
      </w:r>
      <w:proofErr w:type="spellEnd"/>
      <w:r w:rsidRPr="00926BD2">
        <w:rPr>
          <w:rFonts w:asciiTheme="majorBidi" w:hAnsiTheme="majorBidi" w:cstheme="majorBidi"/>
        </w:rPr>
        <w:t xml:space="preserve">, F., </w:t>
      </w:r>
      <w:proofErr w:type="spellStart"/>
      <w:r w:rsidRPr="00926BD2">
        <w:rPr>
          <w:rFonts w:asciiTheme="majorBidi" w:hAnsiTheme="majorBidi" w:cstheme="majorBidi"/>
        </w:rPr>
        <w:t>Kravitz</w:t>
      </w:r>
      <w:proofErr w:type="spellEnd"/>
      <w:r w:rsidRPr="00926BD2">
        <w:rPr>
          <w:rFonts w:asciiTheme="majorBidi" w:hAnsiTheme="majorBidi" w:cstheme="majorBidi"/>
        </w:rPr>
        <w:t xml:space="preserve">, H., </w:t>
      </w:r>
      <w:proofErr w:type="spellStart"/>
      <w:r w:rsidRPr="00926BD2">
        <w:rPr>
          <w:rFonts w:asciiTheme="majorBidi" w:hAnsiTheme="majorBidi" w:cstheme="majorBidi"/>
        </w:rPr>
        <w:t>AlMazroa</w:t>
      </w:r>
      <w:proofErr w:type="spellEnd"/>
      <w:r w:rsidRPr="00926BD2">
        <w:rPr>
          <w:rFonts w:asciiTheme="majorBidi" w:hAnsiTheme="majorBidi" w:cstheme="majorBidi"/>
        </w:rPr>
        <w:t xml:space="preserve">, M. A., Al </w:t>
      </w:r>
      <w:proofErr w:type="spellStart"/>
      <w:r w:rsidRPr="00926BD2">
        <w:rPr>
          <w:rFonts w:asciiTheme="majorBidi" w:hAnsiTheme="majorBidi" w:cstheme="majorBidi"/>
        </w:rPr>
        <w:t>Saeedi</w:t>
      </w:r>
      <w:proofErr w:type="spellEnd"/>
      <w:r w:rsidRPr="00926BD2">
        <w:rPr>
          <w:rFonts w:asciiTheme="majorBidi" w:hAnsiTheme="majorBidi" w:cstheme="majorBidi"/>
        </w:rPr>
        <w:t>, M</w:t>
      </w:r>
      <w:proofErr w:type="gramStart"/>
      <w:r w:rsidRPr="00926BD2">
        <w:rPr>
          <w:rFonts w:asciiTheme="majorBidi" w:hAnsiTheme="majorBidi" w:cstheme="majorBidi"/>
        </w:rPr>
        <w:t>., ...</w:t>
      </w:r>
      <w:proofErr w:type="gramEnd"/>
      <w:r w:rsidRPr="00926BD2">
        <w:rPr>
          <w:rFonts w:asciiTheme="majorBidi" w:hAnsiTheme="majorBidi" w:cstheme="majorBidi"/>
        </w:rPr>
        <w:t xml:space="preserve"> &amp; </w:t>
      </w:r>
      <w:proofErr w:type="spellStart"/>
      <w:r w:rsidRPr="00926BD2">
        <w:rPr>
          <w:rFonts w:asciiTheme="majorBidi" w:hAnsiTheme="majorBidi" w:cstheme="majorBidi"/>
        </w:rPr>
        <w:t>Mokdad</w:t>
      </w:r>
      <w:proofErr w:type="spellEnd"/>
      <w:r w:rsidRPr="00926BD2">
        <w:rPr>
          <w:rFonts w:asciiTheme="majorBidi" w:hAnsiTheme="majorBidi" w:cstheme="majorBidi"/>
        </w:rPr>
        <w:t>, A. H. (2015). Access and barriers to healthcare in the Kingdom of Saudi Arabia, 2013: findings from a national multistage survey. BMJ open, 5(6), e007801.</w:t>
      </w:r>
    </w:p>
    <w:p w14:paraId="6B3F1F5F" w14:textId="77777777" w:rsidR="00926BD2" w:rsidRPr="00926BD2" w:rsidRDefault="00926BD2" w:rsidP="00926BD2">
      <w:pPr>
        <w:rPr>
          <w:rFonts w:asciiTheme="majorBidi" w:hAnsiTheme="majorBidi" w:cstheme="majorBidi"/>
        </w:rPr>
      </w:pPr>
      <w:proofErr w:type="gramStart"/>
      <w:r w:rsidRPr="00926BD2">
        <w:rPr>
          <w:rFonts w:asciiTheme="majorBidi" w:hAnsiTheme="majorBidi" w:cstheme="majorBidi"/>
        </w:rPr>
        <w:t xml:space="preserve">Hadden, K., Cornell, Carol E., </w:t>
      </w:r>
      <w:proofErr w:type="spellStart"/>
      <w:r w:rsidRPr="00926BD2">
        <w:rPr>
          <w:rFonts w:asciiTheme="majorBidi" w:hAnsiTheme="majorBidi" w:cstheme="majorBidi"/>
        </w:rPr>
        <w:t>Mengel</w:t>
      </w:r>
      <w:proofErr w:type="spellEnd"/>
      <w:r w:rsidRPr="00926BD2">
        <w:rPr>
          <w:rFonts w:asciiTheme="majorBidi" w:hAnsiTheme="majorBidi" w:cstheme="majorBidi"/>
        </w:rPr>
        <w:t>, Mark, Rhoads, Sarah, Stewart, Katharine, Whiteside-</w:t>
      </w:r>
      <w:proofErr w:type="spellStart"/>
      <w:r w:rsidRPr="00926BD2">
        <w:rPr>
          <w:rFonts w:asciiTheme="majorBidi" w:hAnsiTheme="majorBidi" w:cstheme="majorBidi"/>
        </w:rPr>
        <w:t>Mansell</w:t>
      </w:r>
      <w:proofErr w:type="spellEnd"/>
      <w:r w:rsidRPr="00926BD2">
        <w:rPr>
          <w:rFonts w:asciiTheme="majorBidi" w:hAnsiTheme="majorBidi" w:cstheme="majorBidi"/>
        </w:rPr>
        <w:t>, Leanne, &amp; Williams, D. (2012).</w:t>
      </w:r>
      <w:proofErr w:type="gramEnd"/>
      <w:r w:rsidRPr="00926BD2">
        <w:rPr>
          <w:rFonts w:asciiTheme="majorBidi" w:hAnsiTheme="majorBidi" w:cstheme="majorBidi"/>
        </w:rPr>
        <w:t xml:space="preserve"> Health Literacy and Pregnancy: Validation of a New Measure and Relationships of Health Literacy to Pregnancy Risk Factors, </w:t>
      </w:r>
      <w:proofErr w:type="spellStart"/>
      <w:r w:rsidRPr="00926BD2">
        <w:rPr>
          <w:rFonts w:asciiTheme="majorBidi" w:hAnsiTheme="majorBidi" w:cstheme="majorBidi"/>
        </w:rPr>
        <w:t>ProQuest</w:t>
      </w:r>
      <w:proofErr w:type="spellEnd"/>
      <w:r w:rsidRPr="00926BD2">
        <w:rPr>
          <w:rFonts w:asciiTheme="majorBidi" w:hAnsiTheme="majorBidi" w:cstheme="majorBidi"/>
        </w:rPr>
        <w:t xml:space="preserve"> Dissertations and Theses.</w:t>
      </w:r>
    </w:p>
    <w:p w14:paraId="6FA367F6" w14:textId="77777777" w:rsidR="00926BD2" w:rsidRPr="00926BD2" w:rsidRDefault="00926BD2" w:rsidP="00926BD2">
      <w:pPr>
        <w:rPr>
          <w:rFonts w:asciiTheme="majorBidi" w:hAnsiTheme="majorBidi" w:cstheme="majorBidi"/>
        </w:rPr>
      </w:pPr>
      <w:proofErr w:type="spellStart"/>
      <w:r w:rsidRPr="00926BD2">
        <w:rPr>
          <w:rFonts w:asciiTheme="majorBidi" w:hAnsiTheme="majorBidi" w:cstheme="majorBidi"/>
        </w:rPr>
        <w:t>Helmerhorst</w:t>
      </w:r>
      <w:proofErr w:type="spellEnd"/>
      <w:r w:rsidRPr="00926BD2">
        <w:rPr>
          <w:rFonts w:asciiTheme="majorBidi" w:hAnsiTheme="majorBidi" w:cstheme="majorBidi"/>
        </w:rPr>
        <w:t xml:space="preserve">, H. H. J., </w:t>
      </w:r>
      <w:proofErr w:type="spellStart"/>
      <w:r w:rsidRPr="00926BD2">
        <w:rPr>
          <w:rFonts w:asciiTheme="majorBidi" w:hAnsiTheme="majorBidi" w:cstheme="majorBidi"/>
        </w:rPr>
        <w:t>Brage</w:t>
      </w:r>
      <w:proofErr w:type="spellEnd"/>
      <w:r w:rsidRPr="00926BD2">
        <w:rPr>
          <w:rFonts w:asciiTheme="majorBidi" w:hAnsiTheme="majorBidi" w:cstheme="majorBidi"/>
        </w:rPr>
        <w:t xml:space="preserve">, S., Warren, J., </w:t>
      </w:r>
      <w:proofErr w:type="spellStart"/>
      <w:r w:rsidRPr="00926BD2">
        <w:rPr>
          <w:rFonts w:asciiTheme="majorBidi" w:hAnsiTheme="majorBidi" w:cstheme="majorBidi"/>
        </w:rPr>
        <w:t>Besson</w:t>
      </w:r>
      <w:proofErr w:type="spellEnd"/>
      <w:r w:rsidRPr="00926BD2">
        <w:rPr>
          <w:rFonts w:asciiTheme="majorBidi" w:hAnsiTheme="majorBidi" w:cstheme="majorBidi"/>
        </w:rPr>
        <w:t xml:space="preserve">, H., &amp; </w:t>
      </w:r>
      <w:proofErr w:type="spellStart"/>
      <w:r w:rsidRPr="00926BD2">
        <w:rPr>
          <w:rFonts w:asciiTheme="majorBidi" w:hAnsiTheme="majorBidi" w:cstheme="majorBidi"/>
        </w:rPr>
        <w:t>Ekelund</w:t>
      </w:r>
      <w:proofErr w:type="spellEnd"/>
      <w:r w:rsidRPr="00926BD2">
        <w:rPr>
          <w:rFonts w:asciiTheme="majorBidi" w:hAnsiTheme="majorBidi" w:cstheme="majorBidi"/>
        </w:rPr>
        <w:t xml:space="preserve">, U. (2012). </w:t>
      </w:r>
      <w:proofErr w:type="gramStart"/>
      <w:r w:rsidRPr="00926BD2">
        <w:rPr>
          <w:rFonts w:asciiTheme="majorBidi" w:hAnsiTheme="majorBidi" w:cstheme="majorBidi"/>
        </w:rPr>
        <w:t>A systematic review of reliability and objective criterion-related validity of physical activity questionnaires.</w:t>
      </w:r>
      <w:proofErr w:type="gramEnd"/>
      <w:r w:rsidRPr="00926BD2">
        <w:rPr>
          <w:rFonts w:asciiTheme="majorBidi" w:hAnsiTheme="majorBidi" w:cstheme="majorBidi"/>
        </w:rPr>
        <w:t xml:space="preserve"> </w:t>
      </w:r>
      <w:proofErr w:type="gramStart"/>
      <w:r w:rsidRPr="00926BD2">
        <w:rPr>
          <w:rFonts w:asciiTheme="majorBidi" w:hAnsiTheme="majorBidi" w:cstheme="majorBidi"/>
        </w:rPr>
        <w:t xml:space="preserve">International Journal of </w:t>
      </w:r>
      <w:proofErr w:type="spellStart"/>
      <w:r w:rsidRPr="00926BD2">
        <w:rPr>
          <w:rFonts w:asciiTheme="majorBidi" w:hAnsiTheme="majorBidi" w:cstheme="majorBidi"/>
        </w:rPr>
        <w:t>Behavioral</w:t>
      </w:r>
      <w:proofErr w:type="spellEnd"/>
      <w:r w:rsidRPr="00926BD2">
        <w:rPr>
          <w:rFonts w:asciiTheme="majorBidi" w:hAnsiTheme="majorBidi" w:cstheme="majorBidi"/>
        </w:rPr>
        <w:t xml:space="preserve"> Nutrition and Physical Activity, 9(1), 103.</w:t>
      </w:r>
      <w:proofErr w:type="gramEnd"/>
    </w:p>
    <w:p w14:paraId="6AD82A25" w14:textId="77777777" w:rsidR="00926BD2" w:rsidRPr="00926BD2" w:rsidRDefault="00926BD2" w:rsidP="00926BD2">
      <w:pPr>
        <w:rPr>
          <w:rFonts w:asciiTheme="majorBidi" w:hAnsiTheme="majorBidi" w:cstheme="majorBidi"/>
        </w:rPr>
      </w:pPr>
      <w:r w:rsidRPr="00926BD2">
        <w:rPr>
          <w:rFonts w:asciiTheme="majorBidi" w:hAnsiTheme="majorBidi" w:cstheme="majorBidi"/>
        </w:rPr>
        <w:t xml:space="preserve">Gill P. (2008). Methods of data collection in qualitative research: Interviews and focus groups. </w:t>
      </w:r>
      <w:proofErr w:type="gramStart"/>
      <w:r w:rsidRPr="00926BD2">
        <w:rPr>
          <w:rFonts w:asciiTheme="majorBidi" w:hAnsiTheme="majorBidi" w:cstheme="majorBidi"/>
        </w:rPr>
        <w:t>(Vol. 204).</w:t>
      </w:r>
      <w:proofErr w:type="gramEnd"/>
    </w:p>
    <w:p w14:paraId="01D5CF4C" w14:textId="77777777" w:rsidR="00926BD2" w:rsidRPr="00926BD2" w:rsidRDefault="00926BD2" w:rsidP="00926BD2">
      <w:pPr>
        <w:rPr>
          <w:rFonts w:asciiTheme="majorBidi" w:hAnsiTheme="majorBidi" w:cstheme="majorBidi"/>
        </w:rPr>
      </w:pPr>
      <w:proofErr w:type="spellStart"/>
      <w:r w:rsidRPr="00926BD2">
        <w:rPr>
          <w:rFonts w:asciiTheme="majorBidi" w:hAnsiTheme="majorBidi" w:cstheme="majorBidi"/>
        </w:rPr>
        <w:t>Grbich</w:t>
      </w:r>
      <w:proofErr w:type="spellEnd"/>
      <w:r w:rsidRPr="00926BD2">
        <w:rPr>
          <w:rFonts w:asciiTheme="majorBidi" w:hAnsiTheme="majorBidi" w:cstheme="majorBidi"/>
        </w:rPr>
        <w:t xml:space="preserve">, C. (2012). Qualitative data analysis: An introduction. </w:t>
      </w:r>
      <w:proofErr w:type="gramStart"/>
      <w:r w:rsidRPr="00926BD2">
        <w:rPr>
          <w:rFonts w:asciiTheme="majorBidi" w:hAnsiTheme="majorBidi" w:cstheme="majorBidi"/>
        </w:rPr>
        <w:t>Sage.</w:t>
      </w:r>
      <w:proofErr w:type="gramEnd"/>
      <w:r w:rsidRPr="00926BD2">
        <w:rPr>
          <w:rFonts w:asciiTheme="majorBidi" w:hAnsiTheme="majorBidi" w:cstheme="majorBidi"/>
        </w:rPr>
        <w:t xml:space="preserve"> </w:t>
      </w:r>
    </w:p>
    <w:p w14:paraId="26D8BFAC" w14:textId="027E41D9" w:rsidR="00926BD2" w:rsidRPr="00B05BC2" w:rsidRDefault="00926BD2" w:rsidP="00926BD2">
      <w:pPr>
        <w:rPr>
          <w:rFonts w:asciiTheme="majorBidi" w:hAnsiTheme="majorBidi" w:cstheme="majorBidi"/>
        </w:rPr>
      </w:pPr>
      <w:r w:rsidRPr="00926BD2">
        <w:rPr>
          <w:rFonts w:asciiTheme="majorBidi" w:hAnsiTheme="majorBidi" w:cstheme="majorBidi"/>
        </w:rPr>
        <w:t xml:space="preserve">Gross, K., Alba, S., Glass, T. R., </w:t>
      </w:r>
      <w:proofErr w:type="spellStart"/>
      <w:r w:rsidRPr="00926BD2">
        <w:rPr>
          <w:rFonts w:asciiTheme="majorBidi" w:hAnsiTheme="majorBidi" w:cstheme="majorBidi"/>
        </w:rPr>
        <w:t>Schellenberg</w:t>
      </w:r>
      <w:proofErr w:type="spellEnd"/>
      <w:r w:rsidRPr="00926BD2">
        <w:rPr>
          <w:rFonts w:asciiTheme="majorBidi" w:hAnsiTheme="majorBidi" w:cstheme="majorBidi"/>
        </w:rPr>
        <w:t xml:space="preserve">, J. A., &amp; </w:t>
      </w:r>
      <w:proofErr w:type="spellStart"/>
      <w:r w:rsidRPr="00926BD2">
        <w:rPr>
          <w:rFonts w:asciiTheme="majorBidi" w:hAnsiTheme="majorBidi" w:cstheme="majorBidi"/>
        </w:rPr>
        <w:t>Obrist</w:t>
      </w:r>
      <w:proofErr w:type="spellEnd"/>
      <w:r w:rsidRPr="00926BD2">
        <w:rPr>
          <w:rFonts w:asciiTheme="majorBidi" w:hAnsiTheme="majorBidi" w:cstheme="majorBidi"/>
        </w:rPr>
        <w:t xml:space="preserve">, B. (2012). </w:t>
      </w:r>
      <w:proofErr w:type="gramStart"/>
      <w:r w:rsidRPr="00926BD2">
        <w:rPr>
          <w:rFonts w:asciiTheme="majorBidi" w:hAnsiTheme="majorBidi" w:cstheme="majorBidi"/>
        </w:rPr>
        <w:t>Timing of antenatal care for adolescent and adult pregnant women in south-eastern Tanzania.</w:t>
      </w:r>
      <w:proofErr w:type="gramEnd"/>
      <w:r w:rsidRPr="00926BD2">
        <w:rPr>
          <w:rFonts w:asciiTheme="majorBidi" w:hAnsiTheme="majorBidi" w:cstheme="majorBidi"/>
        </w:rPr>
        <w:t xml:space="preserve"> </w:t>
      </w:r>
      <w:proofErr w:type="gramStart"/>
      <w:r w:rsidRPr="00926BD2">
        <w:rPr>
          <w:rFonts w:asciiTheme="majorBidi" w:hAnsiTheme="majorBidi" w:cstheme="majorBidi"/>
        </w:rPr>
        <w:t>BMC pregnancy and childbirth, 12(1), 16.</w:t>
      </w:r>
      <w:proofErr w:type="gramEnd"/>
    </w:p>
    <w:sectPr w:rsidR="00926BD2" w:rsidRPr="00B05B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A7"/>
    <w:rsid w:val="001122FD"/>
    <w:rsid w:val="00116D50"/>
    <w:rsid w:val="00141444"/>
    <w:rsid w:val="001447F5"/>
    <w:rsid w:val="002128D7"/>
    <w:rsid w:val="00361CE7"/>
    <w:rsid w:val="003E1CFC"/>
    <w:rsid w:val="004A5177"/>
    <w:rsid w:val="005616E2"/>
    <w:rsid w:val="00687A40"/>
    <w:rsid w:val="006B5363"/>
    <w:rsid w:val="006E67C8"/>
    <w:rsid w:val="00751918"/>
    <w:rsid w:val="00926BD2"/>
    <w:rsid w:val="009B2ABB"/>
    <w:rsid w:val="009D78A7"/>
    <w:rsid w:val="00A10821"/>
    <w:rsid w:val="00AC6EB9"/>
    <w:rsid w:val="00B05BC2"/>
    <w:rsid w:val="00B05E99"/>
    <w:rsid w:val="00B32B95"/>
    <w:rsid w:val="00B7154A"/>
    <w:rsid w:val="00BA7324"/>
    <w:rsid w:val="00BD7EF6"/>
    <w:rsid w:val="00C741FA"/>
    <w:rsid w:val="00CE5F92"/>
    <w:rsid w:val="00E53F33"/>
    <w:rsid w:val="00F05F57"/>
    <w:rsid w:val="00F32476"/>
    <w:rsid w:val="00F376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75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5363"/>
    <w:rPr>
      <w:sz w:val="18"/>
      <w:szCs w:val="18"/>
    </w:rPr>
  </w:style>
  <w:style w:type="paragraph" w:styleId="CommentText">
    <w:name w:val="annotation text"/>
    <w:basedOn w:val="Normal"/>
    <w:link w:val="CommentTextChar"/>
    <w:uiPriority w:val="99"/>
    <w:semiHidden/>
    <w:unhideWhenUsed/>
    <w:rsid w:val="006B5363"/>
    <w:pPr>
      <w:spacing w:line="240" w:lineRule="auto"/>
    </w:pPr>
    <w:rPr>
      <w:sz w:val="24"/>
      <w:szCs w:val="24"/>
    </w:rPr>
  </w:style>
  <w:style w:type="character" w:customStyle="1" w:styleId="CommentTextChar">
    <w:name w:val="Comment Text Char"/>
    <w:basedOn w:val="DefaultParagraphFont"/>
    <w:link w:val="CommentText"/>
    <w:uiPriority w:val="99"/>
    <w:semiHidden/>
    <w:rsid w:val="006B5363"/>
    <w:rPr>
      <w:sz w:val="24"/>
      <w:szCs w:val="24"/>
    </w:rPr>
  </w:style>
  <w:style w:type="paragraph" w:styleId="CommentSubject">
    <w:name w:val="annotation subject"/>
    <w:basedOn w:val="CommentText"/>
    <w:next w:val="CommentText"/>
    <w:link w:val="CommentSubjectChar"/>
    <w:uiPriority w:val="99"/>
    <w:semiHidden/>
    <w:unhideWhenUsed/>
    <w:rsid w:val="006B5363"/>
    <w:rPr>
      <w:b/>
      <w:bCs/>
      <w:sz w:val="20"/>
      <w:szCs w:val="20"/>
    </w:rPr>
  </w:style>
  <w:style w:type="character" w:customStyle="1" w:styleId="CommentSubjectChar">
    <w:name w:val="Comment Subject Char"/>
    <w:basedOn w:val="CommentTextChar"/>
    <w:link w:val="CommentSubject"/>
    <w:uiPriority w:val="99"/>
    <w:semiHidden/>
    <w:rsid w:val="006B5363"/>
    <w:rPr>
      <w:b/>
      <w:bCs/>
      <w:sz w:val="20"/>
      <w:szCs w:val="20"/>
    </w:rPr>
  </w:style>
  <w:style w:type="paragraph" w:styleId="BalloonText">
    <w:name w:val="Balloon Text"/>
    <w:basedOn w:val="Normal"/>
    <w:link w:val="BalloonTextChar"/>
    <w:uiPriority w:val="99"/>
    <w:semiHidden/>
    <w:unhideWhenUsed/>
    <w:rsid w:val="006B536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5363"/>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5363"/>
    <w:rPr>
      <w:sz w:val="18"/>
      <w:szCs w:val="18"/>
    </w:rPr>
  </w:style>
  <w:style w:type="paragraph" w:styleId="CommentText">
    <w:name w:val="annotation text"/>
    <w:basedOn w:val="Normal"/>
    <w:link w:val="CommentTextChar"/>
    <w:uiPriority w:val="99"/>
    <w:semiHidden/>
    <w:unhideWhenUsed/>
    <w:rsid w:val="006B5363"/>
    <w:pPr>
      <w:spacing w:line="240" w:lineRule="auto"/>
    </w:pPr>
    <w:rPr>
      <w:sz w:val="24"/>
      <w:szCs w:val="24"/>
    </w:rPr>
  </w:style>
  <w:style w:type="character" w:customStyle="1" w:styleId="CommentTextChar">
    <w:name w:val="Comment Text Char"/>
    <w:basedOn w:val="DefaultParagraphFont"/>
    <w:link w:val="CommentText"/>
    <w:uiPriority w:val="99"/>
    <w:semiHidden/>
    <w:rsid w:val="006B5363"/>
    <w:rPr>
      <w:sz w:val="24"/>
      <w:szCs w:val="24"/>
    </w:rPr>
  </w:style>
  <w:style w:type="paragraph" w:styleId="CommentSubject">
    <w:name w:val="annotation subject"/>
    <w:basedOn w:val="CommentText"/>
    <w:next w:val="CommentText"/>
    <w:link w:val="CommentSubjectChar"/>
    <w:uiPriority w:val="99"/>
    <w:semiHidden/>
    <w:unhideWhenUsed/>
    <w:rsid w:val="006B5363"/>
    <w:rPr>
      <w:b/>
      <w:bCs/>
      <w:sz w:val="20"/>
      <w:szCs w:val="20"/>
    </w:rPr>
  </w:style>
  <w:style w:type="character" w:customStyle="1" w:styleId="CommentSubjectChar">
    <w:name w:val="Comment Subject Char"/>
    <w:basedOn w:val="CommentTextChar"/>
    <w:link w:val="CommentSubject"/>
    <w:uiPriority w:val="99"/>
    <w:semiHidden/>
    <w:rsid w:val="006B5363"/>
    <w:rPr>
      <w:b/>
      <w:bCs/>
      <w:sz w:val="20"/>
      <w:szCs w:val="20"/>
    </w:rPr>
  </w:style>
  <w:style w:type="paragraph" w:styleId="BalloonText">
    <w:name w:val="Balloon Text"/>
    <w:basedOn w:val="Normal"/>
    <w:link w:val="BalloonTextChar"/>
    <w:uiPriority w:val="99"/>
    <w:semiHidden/>
    <w:unhideWhenUsed/>
    <w:rsid w:val="006B536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536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402865ED.dotm</Template>
  <TotalTime>19</TotalTime>
  <Pages>3</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ALANAZY W. (806810)</cp:lastModifiedBy>
  <cp:revision>4</cp:revision>
  <dcterms:created xsi:type="dcterms:W3CDTF">2017-10-24T09:06:00Z</dcterms:created>
  <dcterms:modified xsi:type="dcterms:W3CDTF">2017-11-21T13:57:00Z</dcterms:modified>
</cp:coreProperties>
</file>