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B1ABB" w14:textId="1A96D93C" w:rsidR="007804D6" w:rsidRPr="00A50D04" w:rsidRDefault="007804D6" w:rsidP="00A50D04">
      <w:pPr>
        <w:contextualSpacing/>
        <w:jc w:val="both"/>
        <w:rPr>
          <w:rFonts w:asciiTheme="majorHAnsi" w:hAnsiTheme="majorHAnsi" w:cstheme="majorHAnsi"/>
          <w:b/>
          <w:bCs/>
          <w:sz w:val="22"/>
          <w:szCs w:val="22"/>
        </w:rPr>
      </w:pPr>
      <w:r w:rsidRPr="00A50D04">
        <w:rPr>
          <w:rFonts w:asciiTheme="majorHAnsi" w:hAnsiTheme="majorHAnsi" w:cstheme="majorHAnsi"/>
          <w:b/>
          <w:bCs/>
          <w:sz w:val="22"/>
          <w:szCs w:val="22"/>
        </w:rPr>
        <w:t xml:space="preserve">Title: </w:t>
      </w:r>
      <w:r w:rsidRPr="00A50D04">
        <w:rPr>
          <w:rFonts w:asciiTheme="majorHAnsi" w:hAnsiTheme="majorHAnsi" w:cstheme="majorHAnsi"/>
          <w:b/>
          <w:bCs/>
          <w:sz w:val="22"/>
          <w:szCs w:val="22"/>
        </w:rPr>
        <w:t>OCCUPATIONAL HEALTH AND SAFETY OF NURSE CLINICAL INSTRUCTORS</w:t>
      </w:r>
      <w:r w:rsidRPr="00A50D04">
        <w:rPr>
          <w:rFonts w:asciiTheme="majorHAnsi" w:hAnsiTheme="majorHAnsi" w:cstheme="majorHAnsi"/>
          <w:b/>
          <w:bCs/>
          <w:sz w:val="22"/>
          <w:szCs w:val="22"/>
        </w:rPr>
        <w:t xml:space="preserve"> </w:t>
      </w:r>
      <w:r w:rsidRPr="00A50D04">
        <w:rPr>
          <w:rFonts w:asciiTheme="majorHAnsi" w:hAnsiTheme="majorHAnsi" w:cstheme="majorHAnsi"/>
          <w:b/>
          <w:bCs/>
          <w:sz w:val="22"/>
          <w:szCs w:val="22"/>
        </w:rPr>
        <w:t>IN SELECTED LOCAL UNIVERSITIES: INPUT FOR POLICY FORMULATION</w:t>
      </w:r>
    </w:p>
    <w:p w14:paraId="4C6D5BF6" w14:textId="77777777" w:rsidR="007804D6" w:rsidRPr="00A50D04" w:rsidRDefault="007804D6" w:rsidP="00A50D04">
      <w:pPr>
        <w:tabs>
          <w:tab w:val="left" w:pos="3781"/>
        </w:tabs>
        <w:ind w:left="2880"/>
        <w:contextualSpacing/>
        <w:jc w:val="both"/>
        <w:rPr>
          <w:rFonts w:asciiTheme="majorHAnsi" w:hAnsiTheme="majorHAnsi" w:cstheme="majorHAnsi"/>
          <w:sz w:val="22"/>
          <w:szCs w:val="22"/>
        </w:rPr>
      </w:pPr>
      <w:r w:rsidRPr="00A50D04">
        <w:rPr>
          <w:rFonts w:asciiTheme="majorHAnsi" w:hAnsiTheme="majorHAnsi" w:cstheme="majorHAnsi"/>
          <w:sz w:val="22"/>
          <w:szCs w:val="22"/>
        </w:rPr>
        <w:tab/>
      </w:r>
    </w:p>
    <w:p w14:paraId="1A6DD917" w14:textId="684DA44A" w:rsidR="007804D6" w:rsidRPr="00A50D04" w:rsidRDefault="007804D6" w:rsidP="00A50D04">
      <w:pPr>
        <w:contextualSpacing/>
        <w:jc w:val="both"/>
        <w:rPr>
          <w:rFonts w:asciiTheme="majorHAnsi" w:hAnsiTheme="majorHAnsi" w:cstheme="majorHAnsi"/>
          <w:b/>
          <w:sz w:val="22"/>
          <w:szCs w:val="22"/>
        </w:rPr>
      </w:pPr>
      <w:r w:rsidRPr="00A50D04">
        <w:rPr>
          <w:rFonts w:asciiTheme="majorHAnsi" w:hAnsiTheme="majorHAnsi" w:cstheme="majorHAnsi"/>
          <w:b/>
          <w:sz w:val="22"/>
          <w:szCs w:val="22"/>
        </w:rPr>
        <w:t xml:space="preserve">Saquing, </w:t>
      </w:r>
      <w:r w:rsidRPr="00A50D04">
        <w:rPr>
          <w:rFonts w:asciiTheme="majorHAnsi" w:hAnsiTheme="majorHAnsi" w:cstheme="majorHAnsi"/>
          <w:b/>
          <w:sz w:val="22"/>
          <w:szCs w:val="22"/>
        </w:rPr>
        <w:t xml:space="preserve">Mary Pauline V. </w:t>
      </w:r>
    </w:p>
    <w:p w14:paraId="4654D3DC" w14:textId="77777777" w:rsidR="007804D6" w:rsidRPr="00A50D04" w:rsidRDefault="007804D6" w:rsidP="00A50D04">
      <w:pPr>
        <w:widowControl w:val="0"/>
        <w:autoSpaceDE w:val="0"/>
        <w:autoSpaceDN w:val="0"/>
        <w:adjustRightInd w:val="0"/>
        <w:contextualSpacing/>
        <w:jc w:val="both"/>
        <w:rPr>
          <w:rFonts w:asciiTheme="majorHAnsi" w:hAnsiTheme="majorHAnsi" w:cstheme="majorHAnsi"/>
          <w:i/>
          <w:sz w:val="22"/>
          <w:szCs w:val="22"/>
        </w:rPr>
      </w:pPr>
    </w:p>
    <w:p w14:paraId="032E1057" w14:textId="2F5E0E3C" w:rsidR="007804D6" w:rsidRPr="00A50D04" w:rsidRDefault="007804D6" w:rsidP="00A50D04">
      <w:pPr>
        <w:widowControl w:val="0"/>
        <w:autoSpaceDE w:val="0"/>
        <w:autoSpaceDN w:val="0"/>
        <w:adjustRightInd w:val="0"/>
        <w:contextualSpacing/>
        <w:jc w:val="both"/>
        <w:rPr>
          <w:rFonts w:asciiTheme="majorHAnsi" w:hAnsiTheme="majorHAnsi" w:cstheme="majorHAnsi"/>
          <w:i/>
          <w:sz w:val="22"/>
          <w:szCs w:val="22"/>
        </w:rPr>
      </w:pPr>
      <w:r w:rsidRPr="00A50D04">
        <w:rPr>
          <w:rFonts w:asciiTheme="majorHAnsi" w:hAnsiTheme="majorHAnsi" w:cstheme="majorHAnsi"/>
          <w:i/>
          <w:sz w:val="22"/>
          <w:szCs w:val="22"/>
        </w:rPr>
        <w:t>University of the City of Manila, Philippines</w:t>
      </w:r>
    </w:p>
    <w:p w14:paraId="193589F0" w14:textId="77777777" w:rsidR="007804D6" w:rsidRPr="00A50D04" w:rsidRDefault="007804D6" w:rsidP="00A50D04">
      <w:pPr>
        <w:widowControl w:val="0"/>
        <w:autoSpaceDE w:val="0"/>
        <w:autoSpaceDN w:val="0"/>
        <w:adjustRightInd w:val="0"/>
        <w:contextualSpacing/>
        <w:jc w:val="both"/>
        <w:rPr>
          <w:rFonts w:asciiTheme="majorHAnsi" w:hAnsiTheme="majorHAnsi" w:cstheme="majorHAnsi"/>
          <w:i/>
          <w:sz w:val="22"/>
          <w:szCs w:val="22"/>
        </w:rPr>
      </w:pPr>
    </w:p>
    <w:p w14:paraId="10372A4A" w14:textId="77777777" w:rsidR="007804D6" w:rsidRPr="00A50D04" w:rsidRDefault="007804D6" w:rsidP="00A50D04">
      <w:pPr>
        <w:tabs>
          <w:tab w:val="left" w:pos="550"/>
        </w:tabs>
        <w:contextualSpacing/>
        <w:jc w:val="both"/>
        <w:rPr>
          <w:rFonts w:asciiTheme="majorHAnsi" w:hAnsiTheme="majorHAnsi" w:cstheme="majorHAnsi"/>
          <w:b/>
          <w:sz w:val="22"/>
          <w:szCs w:val="22"/>
        </w:rPr>
        <w:sectPr w:rsidR="007804D6" w:rsidRPr="00A50D04" w:rsidSect="00D80802">
          <w:headerReference w:type="default" r:id="rId4"/>
          <w:pgSz w:w="12240" w:h="15840"/>
          <w:pgMar w:top="1440" w:right="1440" w:bottom="1440" w:left="1440" w:header="720" w:footer="720" w:gutter="0"/>
          <w:pgNumType w:fmt="lowerRoman" w:start="4"/>
          <w:cols w:space="720"/>
          <w:titlePg/>
          <w:docGrid w:linePitch="360"/>
        </w:sectPr>
      </w:pPr>
    </w:p>
    <w:p w14:paraId="0EF32E78" w14:textId="6D71E0D4" w:rsidR="007804D6" w:rsidRPr="00A50D04" w:rsidRDefault="007804D6" w:rsidP="00A50D04">
      <w:pPr>
        <w:tabs>
          <w:tab w:val="left" w:pos="550"/>
        </w:tabs>
        <w:contextualSpacing/>
        <w:jc w:val="both"/>
        <w:rPr>
          <w:rFonts w:asciiTheme="majorHAnsi" w:hAnsiTheme="majorHAnsi" w:cstheme="majorHAnsi"/>
          <w:b/>
          <w:i/>
          <w:sz w:val="22"/>
          <w:szCs w:val="22"/>
        </w:rPr>
      </w:pPr>
      <w:r w:rsidRPr="00A50D04">
        <w:rPr>
          <w:rFonts w:asciiTheme="majorHAnsi" w:hAnsiTheme="majorHAnsi" w:cstheme="majorHAnsi"/>
          <w:b/>
          <w:i/>
          <w:sz w:val="22"/>
          <w:szCs w:val="22"/>
        </w:rPr>
        <w:t>Keywords: Nurse education, occupational health and safety, clinical instructors</w:t>
      </w:r>
    </w:p>
    <w:p w14:paraId="3EC77975" w14:textId="77777777" w:rsidR="007804D6" w:rsidRPr="00A50D04" w:rsidRDefault="007804D6" w:rsidP="00A50D04">
      <w:pPr>
        <w:tabs>
          <w:tab w:val="left" w:pos="550"/>
        </w:tabs>
        <w:contextualSpacing/>
        <w:jc w:val="both"/>
        <w:rPr>
          <w:rFonts w:asciiTheme="majorHAnsi" w:hAnsiTheme="majorHAnsi" w:cstheme="majorHAnsi"/>
          <w:b/>
          <w:sz w:val="22"/>
          <w:szCs w:val="22"/>
        </w:rPr>
      </w:pPr>
    </w:p>
    <w:p w14:paraId="35F975BC" w14:textId="76ED9338" w:rsidR="007804D6" w:rsidRPr="00A50D04" w:rsidRDefault="007804D6" w:rsidP="00A50D04">
      <w:pPr>
        <w:tabs>
          <w:tab w:val="left" w:pos="550"/>
        </w:tabs>
        <w:contextualSpacing/>
        <w:jc w:val="both"/>
        <w:rPr>
          <w:rFonts w:asciiTheme="majorHAnsi" w:hAnsiTheme="majorHAnsi" w:cstheme="majorHAnsi"/>
          <w:b/>
          <w:sz w:val="22"/>
          <w:szCs w:val="22"/>
        </w:rPr>
      </w:pPr>
      <w:r w:rsidRPr="00A50D04">
        <w:rPr>
          <w:rFonts w:asciiTheme="majorHAnsi" w:hAnsiTheme="majorHAnsi" w:cstheme="majorHAnsi"/>
          <w:b/>
          <w:sz w:val="22"/>
          <w:szCs w:val="22"/>
        </w:rPr>
        <w:t>I. ABSTRACT BODY</w:t>
      </w:r>
    </w:p>
    <w:p w14:paraId="29B3F29E" w14:textId="77777777" w:rsidR="007804D6" w:rsidRPr="00A50D04" w:rsidRDefault="007804D6" w:rsidP="00A50D04">
      <w:pPr>
        <w:tabs>
          <w:tab w:val="left" w:pos="550"/>
        </w:tabs>
        <w:contextualSpacing/>
        <w:jc w:val="both"/>
        <w:rPr>
          <w:rFonts w:asciiTheme="majorHAnsi" w:hAnsiTheme="majorHAnsi" w:cstheme="majorHAnsi"/>
          <w:sz w:val="22"/>
          <w:szCs w:val="22"/>
        </w:rPr>
      </w:pPr>
    </w:p>
    <w:p w14:paraId="34FF3925" w14:textId="56B4A6F5" w:rsidR="007804D6" w:rsidRPr="00A50D04" w:rsidRDefault="007804D6" w:rsidP="00A50D04">
      <w:pPr>
        <w:tabs>
          <w:tab w:val="left" w:pos="550"/>
        </w:tabs>
        <w:contextualSpacing/>
        <w:jc w:val="both"/>
        <w:rPr>
          <w:rFonts w:asciiTheme="majorHAnsi" w:hAnsiTheme="majorHAnsi" w:cstheme="majorHAnsi"/>
          <w:sz w:val="22"/>
          <w:szCs w:val="22"/>
        </w:rPr>
      </w:pPr>
      <w:r w:rsidRPr="00A50D04">
        <w:rPr>
          <w:rFonts w:asciiTheme="majorHAnsi" w:hAnsiTheme="majorHAnsi" w:cstheme="majorHAnsi"/>
          <w:sz w:val="22"/>
          <w:szCs w:val="22"/>
        </w:rPr>
        <w:t>This study was conducted to determine the occupational health and safety of 47 nurse clinical instructors employed in four selected local universities in Metro Manila as input for policy formulation. Sampling technique used was total population, and data were gathered using a self-made survey-questionnaire. Statistical treatments utilized were frequency and percentage distribution, weighted mean, ANOVA, Mann-Whitney U, t-test, and Kendall’s tau correlation coefficient. The results showed significant differences in the level of exposure to physical hazards when grouped according to sex, level of exposure to chemical hazards when grouped according to educational attainment, level of incidence of chemical injury when grouped according to age, and level of incidence of biological injury when grouped according to length of service. No significant relationship between level of occupational health and safety encounters and level of workplace security of the respondents was found. Other relevant problems identified by the respondents include those concerning physical environment and current practice (affiliating health institutions); as well as protective equipment/gadgets, hazard compensation, and health and safety programs (educational institutions). A policy position paper on occupational health and safety of nurse clinical instructors was developed based on the result of the study.</w:t>
      </w:r>
      <w:r w:rsidRPr="00A50D04">
        <w:rPr>
          <w:rFonts w:asciiTheme="majorHAnsi" w:hAnsiTheme="majorHAnsi" w:cstheme="majorHAnsi"/>
          <w:sz w:val="22"/>
          <w:szCs w:val="22"/>
        </w:rPr>
        <w:t xml:space="preserve"> </w:t>
      </w:r>
      <w:r w:rsidRPr="00A50D04">
        <w:rPr>
          <w:rFonts w:asciiTheme="majorHAnsi" w:hAnsiTheme="majorHAnsi" w:cstheme="majorHAnsi"/>
          <w:sz w:val="22"/>
          <w:szCs w:val="22"/>
        </w:rPr>
        <w:t xml:space="preserve">Recommendations were made on: individual capability building of nurse clinical instructors; educational institutions’ update on existing protocol and proactive implementation or formulation of (lacking) policies; collaboration between educational </w:t>
      </w:r>
      <w:r w:rsidRPr="00A50D04">
        <w:rPr>
          <w:rFonts w:asciiTheme="majorHAnsi" w:hAnsiTheme="majorHAnsi" w:cstheme="majorHAnsi"/>
          <w:sz w:val="22"/>
          <w:szCs w:val="22"/>
        </w:rPr>
        <w:t>institutions and affiliating health institutions; proactive involvement of lawmakers; and relevant studies to be conducted in the future.</w:t>
      </w:r>
    </w:p>
    <w:p w14:paraId="6B75FBD6" w14:textId="284B4418" w:rsidR="007804D6" w:rsidRPr="00A50D04" w:rsidRDefault="007804D6" w:rsidP="00A50D04">
      <w:pPr>
        <w:tabs>
          <w:tab w:val="left" w:pos="550"/>
        </w:tabs>
        <w:contextualSpacing/>
        <w:jc w:val="both"/>
        <w:rPr>
          <w:rFonts w:asciiTheme="majorHAnsi" w:hAnsiTheme="majorHAnsi" w:cstheme="majorHAnsi"/>
          <w:sz w:val="22"/>
          <w:szCs w:val="22"/>
        </w:rPr>
      </w:pPr>
    </w:p>
    <w:p w14:paraId="4DFB7429" w14:textId="1FD77D17" w:rsidR="007804D6" w:rsidRPr="00A50D04" w:rsidRDefault="007804D6" w:rsidP="00A50D04">
      <w:pPr>
        <w:tabs>
          <w:tab w:val="left" w:pos="550"/>
        </w:tabs>
        <w:contextualSpacing/>
        <w:jc w:val="both"/>
        <w:rPr>
          <w:rFonts w:asciiTheme="majorHAnsi" w:hAnsiTheme="majorHAnsi" w:cstheme="majorHAnsi"/>
          <w:b/>
          <w:sz w:val="22"/>
          <w:szCs w:val="22"/>
        </w:rPr>
      </w:pPr>
      <w:r w:rsidRPr="00A50D04">
        <w:rPr>
          <w:rFonts w:asciiTheme="majorHAnsi" w:hAnsiTheme="majorHAnsi" w:cstheme="majorHAnsi"/>
          <w:b/>
          <w:sz w:val="22"/>
          <w:szCs w:val="22"/>
        </w:rPr>
        <w:t>I</w:t>
      </w:r>
      <w:r w:rsidRPr="00A50D04">
        <w:rPr>
          <w:rFonts w:asciiTheme="majorHAnsi" w:hAnsiTheme="majorHAnsi" w:cstheme="majorHAnsi"/>
          <w:b/>
          <w:sz w:val="22"/>
          <w:szCs w:val="22"/>
        </w:rPr>
        <w:t xml:space="preserve">I. </w:t>
      </w:r>
      <w:r w:rsidRPr="00A50D04">
        <w:rPr>
          <w:rFonts w:asciiTheme="majorHAnsi" w:hAnsiTheme="majorHAnsi" w:cstheme="majorHAnsi"/>
          <w:b/>
          <w:sz w:val="22"/>
          <w:szCs w:val="22"/>
        </w:rPr>
        <w:t>REFERENCES</w:t>
      </w:r>
    </w:p>
    <w:p w14:paraId="28E697F0" w14:textId="6190AC98" w:rsidR="007804D6" w:rsidRPr="00A50D04" w:rsidRDefault="007804D6" w:rsidP="00A50D04">
      <w:pPr>
        <w:tabs>
          <w:tab w:val="left" w:pos="550"/>
        </w:tabs>
        <w:contextualSpacing/>
        <w:jc w:val="both"/>
        <w:rPr>
          <w:rFonts w:asciiTheme="majorHAnsi" w:hAnsiTheme="majorHAnsi" w:cstheme="majorHAnsi"/>
          <w:b/>
          <w:sz w:val="22"/>
          <w:szCs w:val="22"/>
        </w:rPr>
      </w:pPr>
    </w:p>
    <w:p w14:paraId="3C9AA494" w14:textId="20035AA2" w:rsidR="00A50D04" w:rsidRDefault="00A50D04" w:rsidP="009B03E5">
      <w:pPr>
        <w:pStyle w:val="NoSpacing"/>
        <w:contextualSpacing/>
        <w:rPr>
          <w:rFonts w:asciiTheme="majorHAnsi" w:hAnsiTheme="majorHAnsi" w:cstheme="majorHAnsi"/>
        </w:rPr>
      </w:pPr>
      <w:r w:rsidRPr="00A50D04">
        <w:rPr>
          <w:rFonts w:asciiTheme="majorHAnsi" w:hAnsiTheme="majorHAnsi" w:cstheme="majorHAnsi"/>
        </w:rPr>
        <w:t xml:space="preserve">Abdullah, N. C., </w:t>
      </w:r>
      <w:proofErr w:type="spellStart"/>
      <w:r w:rsidRPr="00A50D04">
        <w:rPr>
          <w:rFonts w:asciiTheme="majorHAnsi" w:hAnsiTheme="majorHAnsi" w:cstheme="majorHAnsi"/>
        </w:rPr>
        <w:t>Spickett</w:t>
      </w:r>
      <w:proofErr w:type="spellEnd"/>
      <w:r w:rsidRPr="00A50D04">
        <w:rPr>
          <w:rFonts w:asciiTheme="majorHAnsi" w:hAnsiTheme="majorHAnsi" w:cstheme="majorHAnsi"/>
        </w:rPr>
        <w:t xml:space="preserve"> J. T., </w:t>
      </w:r>
      <w:proofErr w:type="spellStart"/>
      <w:r w:rsidRPr="00A50D04">
        <w:rPr>
          <w:rFonts w:asciiTheme="majorHAnsi" w:hAnsiTheme="majorHAnsi" w:cstheme="majorHAnsi"/>
        </w:rPr>
        <w:t>Rumchev</w:t>
      </w:r>
      <w:proofErr w:type="spellEnd"/>
      <w:r w:rsidRPr="00A50D04">
        <w:rPr>
          <w:rFonts w:asciiTheme="majorHAnsi" w:hAnsiTheme="majorHAnsi" w:cstheme="majorHAnsi"/>
        </w:rPr>
        <w:t xml:space="preserve"> K. B. &amp; Dhaliwal, S. S. (2009a). Validity and reliability of the safety climate measurement in Malaysia. </w:t>
      </w:r>
      <w:r w:rsidRPr="00A50D04">
        <w:rPr>
          <w:rFonts w:asciiTheme="majorHAnsi" w:hAnsiTheme="majorHAnsi" w:cstheme="majorHAnsi"/>
          <w:i/>
        </w:rPr>
        <w:t>International Review of Business Research Papers</w:t>
      </w:r>
      <w:r w:rsidRPr="00A50D04">
        <w:rPr>
          <w:rFonts w:asciiTheme="majorHAnsi" w:hAnsiTheme="majorHAnsi" w:cstheme="majorHAnsi"/>
        </w:rPr>
        <w:t xml:space="preserve"> </w:t>
      </w:r>
      <w:r w:rsidRPr="00A50D04">
        <w:rPr>
          <w:rFonts w:asciiTheme="majorHAnsi" w:hAnsiTheme="majorHAnsi" w:cstheme="majorHAnsi"/>
          <w:i/>
        </w:rPr>
        <w:t>5</w:t>
      </w:r>
      <w:r w:rsidRPr="00A50D04">
        <w:rPr>
          <w:rFonts w:asciiTheme="majorHAnsi" w:hAnsiTheme="majorHAnsi" w:cstheme="majorHAnsi"/>
        </w:rPr>
        <w:t>(3), 111-141.</w:t>
      </w:r>
    </w:p>
    <w:p w14:paraId="3BB8CBB9" w14:textId="77777777" w:rsidR="009B03E5" w:rsidRPr="00A50D04" w:rsidRDefault="009B03E5" w:rsidP="009B03E5">
      <w:pPr>
        <w:pStyle w:val="NoSpacing"/>
        <w:contextualSpacing/>
        <w:rPr>
          <w:rFonts w:asciiTheme="majorHAnsi" w:hAnsiTheme="majorHAnsi" w:cstheme="majorHAnsi"/>
        </w:rPr>
      </w:pPr>
    </w:p>
    <w:p w14:paraId="43194101" w14:textId="77777777" w:rsidR="00A50D04" w:rsidRPr="00A50D04" w:rsidRDefault="00A50D04" w:rsidP="009B03E5">
      <w:pPr>
        <w:pStyle w:val="NoSpacing"/>
        <w:contextualSpacing/>
        <w:rPr>
          <w:rFonts w:asciiTheme="majorHAnsi" w:hAnsiTheme="majorHAnsi" w:cstheme="majorHAnsi"/>
        </w:rPr>
      </w:pPr>
      <w:r w:rsidRPr="00A50D04">
        <w:rPr>
          <w:rFonts w:asciiTheme="majorHAnsi" w:hAnsiTheme="majorHAnsi" w:cstheme="majorHAnsi"/>
        </w:rPr>
        <w:t xml:space="preserve">Abdullah, N. C., </w:t>
      </w:r>
      <w:proofErr w:type="spellStart"/>
      <w:r w:rsidRPr="00A50D04">
        <w:rPr>
          <w:rFonts w:asciiTheme="majorHAnsi" w:hAnsiTheme="majorHAnsi" w:cstheme="majorHAnsi"/>
        </w:rPr>
        <w:t>Spickett</w:t>
      </w:r>
      <w:proofErr w:type="spellEnd"/>
      <w:r w:rsidRPr="00A50D04">
        <w:rPr>
          <w:rFonts w:asciiTheme="majorHAnsi" w:hAnsiTheme="majorHAnsi" w:cstheme="majorHAnsi"/>
        </w:rPr>
        <w:t xml:space="preserve"> J. T., </w:t>
      </w:r>
      <w:proofErr w:type="spellStart"/>
      <w:r w:rsidRPr="00A50D04">
        <w:rPr>
          <w:rFonts w:asciiTheme="majorHAnsi" w:hAnsiTheme="majorHAnsi" w:cstheme="majorHAnsi"/>
        </w:rPr>
        <w:t>Rumchev</w:t>
      </w:r>
      <w:proofErr w:type="spellEnd"/>
      <w:r w:rsidRPr="00A50D04">
        <w:rPr>
          <w:rFonts w:asciiTheme="majorHAnsi" w:hAnsiTheme="majorHAnsi" w:cstheme="majorHAnsi"/>
        </w:rPr>
        <w:t xml:space="preserve"> K. B. &amp; Dhaliwal, S. S. (2009b). Assessing </w:t>
      </w:r>
      <w:proofErr w:type="gramStart"/>
      <w:r w:rsidRPr="00A50D04">
        <w:rPr>
          <w:rFonts w:asciiTheme="majorHAnsi" w:hAnsiTheme="majorHAnsi" w:cstheme="majorHAnsi"/>
        </w:rPr>
        <w:t>employees</w:t>
      </w:r>
      <w:proofErr w:type="gramEnd"/>
      <w:r w:rsidRPr="00A50D04">
        <w:rPr>
          <w:rFonts w:asciiTheme="majorHAnsi" w:hAnsiTheme="majorHAnsi" w:cstheme="majorHAnsi"/>
        </w:rPr>
        <w:t xml:space="preserve"> perception on health and safety management in public hospitals. </w:t>
      </w:r>
      <w:r w:rsidRPr="00A50D04">
        <w:rPr>
          <w:rFonts w:asciiTheme="majorHAnsi" w:hAnsiTheme="majorHAnsi" w:cstheme="majorHAnsi"/>
          <w:i/>
        </w:rPr>
        <w:t>International Review of Business Research Papers</w:t>
      </w:r>
      <w:r w:rsidRPr="00A50D04">
        <w:rPr>
          <w:rFonts w:asciiTheme="majorHAnsi" w:hAnsiTheme="majorHAnsi" w:cstheme="majorHAnsi"/>
        </w:rPr>
        <w:t xml:space="preserve"> </w:t>
      </w:r>
      <w:r w:rsidRPr="00A50D04">
        <w:rPr>
          <w:rFonts w:asciiTheme="majorHAnsi" w:hAnsiTheme="majorHAnsi" w:cstheme="majorHAnsi"/>
          <w:i/>
        </w:rPr>
        <w:t>5</w:t>
      </w:r>
      <w:r w:rsidRPr="00A50D04">
        <w:rPr>
          <w:rFonts w:asciiTheme="majorHAnsi" w:hAnsiTheme="majorHAnsi" w:cstheme="majorHAnsi"/>
        </w:rPr>
        <w:t>(4), 54-72.</w:t>
      </w:r>
    </w:p>
    <w:p w14:paraId="3ADF8CB8" w14:textId="77777777" w:rsidR="00A50D04" w:rsidRPr="00A50D04" w:rsidRDefault="00A50D04" w:rsidP="009B03E5">
      <w:pPr>
        <w:pStyle w:val="NoSpacing"/>
        <w:ind w:left="720"/>
        <w:contextualSpacing/>
        <w:rPr>
          <w:rFonts w:asciiTheme="majorHAnsi" w:hAnsiTheme="majorHAnsi" w:cstheme="majorHAnsi"/>
        </w:rPr>
      </w:pPr>
    </w:p>
    <w:p w14:paraId="2D264204" w14:textId="77777777" w:rsidR="00A50D04" w:rsidRPr="00A50D04" w:rsidRDefault="00A50D04" w:rsidP="009B03E5">
      <w:pPr>
        <w:pStyle w:val="NoSpacing"/>
        <w:contextualSpacing/>
        <w:rPr>
          <w:rFonts w:asciiTheme="majorHAnsi" w:hAnsiTheme="majorHAnsi" w:cstheme="majorHAnsi"/>
        </w:rPr>
      </w:pPr>
      <w:r w:rsidRPr="00A50D04">
        <w:rPr>
          <w:rFonts w:asciiTheme="majorHAnsi" w:hAnsiTheme="majorHAnsi" w:cstheme="majorHAnsi"/>
        </w:rPr>
        <w:t xml:space="preserve">Akpan, E.I. (2011). Effective safety and health management policy for improved performance of organizations in Africa. </w:t>
      </w:r>
      <w:r w:rsidRPr="00A50D04">
        <w:rPr>
          <w:rFonts w:asciiTheme="majorHAnsi" w:hAnsiTheme="majorHAnsi" w:cstheme="majorHAnsi"/>
          <w:i/>
        </w:rPr>
        <w:t>International Journal of Business and Management 6</w:t>
      </w:r>
      <w:r w:rsidRPr="00A50D04">
        <w:rPr>
          <w:rFonts w:asciiTheme="majorHAnsi" w:hAnsiTheme="majorHAnsi" w:cstheme="majorHAnsi"/>
        </w:rPr>
        <w:t>(3), 159-165.</w:t>
      </w:r>
    </w:p>
    <w:p w14:paraId="2FBF5EC2" w14:textId="77777777" w:rsidR="00A50D04" w:rsidRPr="00A50D04" w:rsidRDefault="00A50D04" w:rsidP="009B03E5">
      <w:pPr>
        <w:pStyle w:val="NoSpacing"/>
        <w:ind w:left="720"/>
        <w:contextualSpacing/>
        <w:rPr>
          <w:rFonts w:asciiTheme="majorHAnsi" w:hAnsiTheme="majorHAnsi" w:cstheme="majorHAnsi"/>
        </w:rPr>
      </w:pPr>
    </w:p>
    <w:p w14:paraId="5BA30101" w14:textId="77777777" w:rsidR="00A50D04" w:rsidRPr="00A50D04" w:rsidRDefault="00A50D04" w:rsidP="009B03E5">
      <w:pPr>
        <w:pStyle w:val="NoSpacing"/>
        <w:contextualSpacing/>
        <w:rPr>
          <w:rFonts w:asciiTheme="majorHAnsi" w:hAnsiTheme="majorHAnsi" w:cstheme="majorHAnsi"/>
        </w:rPr>
      </w:pPr>
      <w:r w:rsidRPr="00A50D04">
        <w:rPr>
          <w:rFonts w:asciiTheme="majorHAnsi" w:hAnsiTheme="majorHAnsi" w:cstheme="majorHAnsi"/>
        </w:rPr>
        <w:t xml:space="preserve">Alex, M. (2011). Occupational hazards for pregnant nurses. </w:t>
      </w:r>
      <w:r w:rsidRPr="00A50D04">
        <w:rPr>
          <w:rFonts w:asciiTheme="majorHAnsi" w:hAnsiTheme="majorHAnsi" w:cstheme="majorHAnsi"/>
          <w:i/>
        </w:rPr>
        <w:t>American Journal of Nursing 3</w:t>
      </w:r>
      <w:r w:rsidRPr="00A50D04">
        <w:rPr>
          <w:rFonts w:asciiTheme="majorHAnsi" w:hAnsiTheme="majorHAnsi" w:cstheme="majorHAnsi"/>
        </w:rPr>
        <w:t>(1), 28-37.</w:t>
      </w:r>
    </w:p>
    <w:p w14:paraId="176A7CFA" w14:textId="77777777" w:rsidR="00A50D04" w:rsidRPr="00A50D04" w:rsidRDefault="00A50D04" w:rsidP="009B03E5">
      <w:pPr>
        <w:pStyle w:val="NoSpacing"/>
        <w:ind w:left="720"/>
        <w:contextualSpacing/>
        <w:rPr>
          <w:rFonts w:asciiTheme="majorHAnsi" w:hAnsiTheme="majorHAnsi" w:cstheme="majorHAnsi"/>
        </w:rPr>
      </w:pPr>
    </w:p>
    <w:p w14:paraId="6B492EBA" w14:textId="77777777" w:rsidR="00A50D04" w:rsidRPr="00A50D04" w:rsidRDefault="00A50D04" w:rsidP="009B03E5">
      <w:pPr>
        <w:pStyle w:val="NoSpacing"/>
        <w:contextualSpacing/>
        <w:rPr>
          <w:rFonts w:asciiTheme="majorHAnsi" w:hAnsiTheme="majorHAnsi" w:cstheme="majorHAnsi"/>
        </w:rPr>
      </w:pPr>
      <w:proofErr w:type="spellStart"/>
      <w:r w:rsidRPr="00A50D04">
        <w:rPr>
          <w:rFonts w:asciiTheme="majorHAnsi" w:hAnsiTheme="majorHAnsi" w:cstheme="majorHAnsi"/>
        </w:rPr>
        <w:t>Amosu</w:t>
      </w:r>
      <w:proofErr w:type="spellEnd"/>
      <w:r w:rsidRPr="00A50D04">
        <w:rPr>
          <w:rFonts w:asciiTheme="majorHAnsi" w:hAnsiTheme="majorHAnsi" w:cstheme="majorHAnsi"/>
        </w:rPr>
        <w:t xml:space="preserve">, A. M., </w:t>
      </w:r>
      <w:proofErr w:type="spellStart"/>
      <w:r w:rsidRPr="00A50D04">
        <w:rPr>
          <w:rFonts w:asciiTheme="majorHAnsi" w:hAnsiTheme="majorHAnsi" w:cstheme="majorHAnsi"/>
        </w:rPr>
        <w:t>Degun</w:t>
      </w:r>
      <w:proofErr w:type="spellEnd"/>
      <w:r w:rsidRPr="00A50D04">
        <w:rPr>
          <w:rFonts w:asciiTheme="majorHAnsi" w:hAnsiTheme="majorHAnsi" w:cstheme="majorHAnsi"/>
        </w:rPr>
        <w:t xml:space="preserve">, A.M., </w:t>
      </w:r>
      <w:proofErr w:type="spellStart"/>
      <w:r w:rsidRPr="00A50D04">
        <w:rPr>
          <w:rFonts w:asciiTheme="majorHAnsi" w:hAnsiTheme="majorHAnsi" w:cstheme="majorHAnsi"/>
        </w:rPr>
        <w:t>Atulomah</w:t>
      </w:r>
      <w:proofErr w:type="spellEnd"/>
      <w:r w:rsidRPr="00A50D04">
        <w:rPr>
          <w:rFonts w:asciiTheme="majorHAnsi" w:hAnsiTheme="majorHAnsi" w:cstheme="majorHAnsi"/>
        </w:rPr>
        <w:t xml:space="preserve">, N.S., </w:t>
      </w:r>
      <w:proofErr w:type="spellStart"/>
      <w:r w:rsidRPr="00A50D04">
        <w:rPr>
          <w:rFonts w:asciiTheme="majorHAnsi" w:hAnsiTheme="majorHAnsi" w:cstheme="majorHAnsi"/>
        </w:rPr>
        <w:t>Olanrewju</w:t>
      </w:r>
      <w:proofErr w:type="spellEnd"/>
      <w:r w:rsidRPr="00A50D04">
        <w:rPr>
          <w:rFonts w:asciiTheme="majorHAnsi" w:hAnsiTheme="majorHAnsi" w:cstheme="majorHAnsi"/>
        </w:rPr>
        <w:t xml:space="preserve">, M. F. &amp; </w:t>
      </w:r>
      <w:proofErr w:type="spellStart"/>
      <w:r w:rsidRPr="00A50D04">
        <w:rPr>
          <w:rFonts w:asciiTheme="majorHAnsi" w:hAnsiTheme="majorHAnsi" w:cstheme="majorHAnsi"/>
        </w:rPr>
        <w:t>Aderibigbe</w:t>
      </w:r>
      <w:proofErr w:type="spellEnd"/>
      <w:r w:rsidRPr="00A50D04">
        <w:rPr>
          <w:rFonts w:asciiTheme="majorHAnsi" w:hAnsiTheme="majorHAnsi" w:cstheme="majorHAnsi"/>
        </w:rPr>
        <w:t xml:space="preserve">, K. A. (2011). The level of knowledge regarding occupational hazards among Nurses in Abeokuta, Ogun State, Nigeria. </w:t>
      </w:r>
      <w:r w:rsidRPr="00A50D04">
        <w:rPr>
          <w:rFonts w:asciiTheme="majorHAnsi" w:hAnsiTheme="majorHAnsi" w:cstheme="majorHAnsi"/>
          <w:i/>
        </w:rPr>
        <w:t xml:space="preserve">Current Research Journal of Biological Sciences 3 </w:t>
      </w:r>
      <w:r w:rsidRPr="00A50D04">
        <w:rPr>
          <w:rFonts w:asciiTheme="majorHAnsi" w:hAnsiTheme="majorHAnsi" w:cstheme="majorHAnsi"/>
        </w:rPr>
        <w:t>(6),</w:t>
      </w:r>
      <w:r w:rsidRPr="00A50D04">
        <w:rPr>
          <w:rFonts w:asciiTheme="majorHAnsi" w:hAnsiTheme="majorHAnsi" w:cstheme="majorHAnsi"/>
          <w:i/>
        </w:rPr>
        <w:t xml:space="preserve"> </w:t>
      </w:r>
      <w:r w:rsidRPr="00A50D04">
        <w:rPr>
          <w:rFonts w:asciiTheme="majorHAnsi" w:hAnsiTheme="majorHAnsi" w:cstheme="majorHAnsi"/>
        </w:rPr>
        <w:t>586-590.</w:t>
      </w:r>
    </w:p>
    <w:p w14:paraId="71928057" w14:textId="77777777" w:rsidR="00A50D04" w:rsidRPr="00A50D04" w:rsidRDefault="00A50D04" w:rsidP="009B03E5">
      <w:pPr>
        <w:ind w:left="720"/>
        <w:contextualSpacing/>
        <w:rPr>
          <w:rFonts w:asciiTheme="majorHAnsi" w:hAnsiTheme="majorHAnsi" w:cstheme="majorHAnsi"/>
          <w:sz w:val="22"/>
          <w:szCs w:val="22"/>
        </w:rPr>
      </w:pPr>
    </w:p>
    <w:p w14:paraId="27D0C912" w14:textId="77777777" w:rsidR="009B03E5" w:rsidRPr="00A50D04" w:rsidRDefault="009B03E5" w:rsidP="009B03E5">
      <w:pPr>
        <w:pStyle w:val="NoSpacing"/>
        <w:contextualSpacing/>
        <w:rPr>
          <w:rFonts w:asciiTheme="majorHAnsi" w:hAnsiTheme="majorHAnsi" w:cstheme="majorHAnsi"/>
        </w:rPr>
      </w:pPr>
      <w:r w:rsidRPr="00A50D04">
        <w:rPr>
          <w:rFonts w:asciiTheme="majorHAnsi" w:hAnsiTheme="majorHAnsi" w:cstheme="majorHAnsi"/>
        </w:rPr>
        <w:t xml:space="preserve">Articles (2013). </w:t>
      </w:r>
      <w:r w:rsidRPr="00A50D04">
        <w:rPr>
          <w:rFonts w:asciiTheme="majorHAnsi" w:hAnsiTheme="majorHAnsi" w:cstheme="majorHAnsi"/>
          <w:i/>
        </w:rPr>
        <w:t>Nursing practice –</w:t>
      </w:r>
      <w:r w:rsidRPr="00A50D04">
        <w:rPr>
          <w:rFonts w:asciiTheme="majorHAnsi" w:hAnsiTheme="majorHAnsi" w:cstheme="majorHAnsi"/>
        </w:rPr>
        <w:t xml:space="preserve"> </w:t>
      </w:r>
      <w:r w:rsidRPr="00A50D04">
        <w:rPr>
          <w:rFonts w:asciiTheme="majorHAnsi" w:hAnsiTheme="majorHAnsi" w:cstheme="majorHAnsi"/>
          <w:i/>
        </w:rPr>
        <w:t>The prevalence of occupational hazard associated with nursing practice</w:t>
      </w:r>
      <w:r w:rsidRPr="00A50D04">
        <w:rPr>
          <w:rFonts w:asciiTheme="majorHAnsi" w:hAnsiTheme="majorHAnsi" w:cstheme="majorHAnsi"/>
        </w:rPr>
        <w:t>. http://articlesng.com/nursing-practice-prevalence-occupation-hazard-nursing-practice/.</w:t>
      </w:r>
    </w:p>
    <w:p w14:paraId="0FBE8F22" w14:textId="77777777" w:rsidR="009B03E5" w:rsidRPr="00A50D04" w:rsidRDefault="009B03E5" w:rsidP="009B03E5">
      <w:pPr>
        <w:pStyle w:val="NoSpacing"/>
        <w:ind w:left="720"/>
        <w:contextualSpacing/>
        <w:rPr>
          <w:rFonts w:asciiTheme="majorHAnsi" w:hAnsiTheme="majorHAnsi" w:cstheme="majorHAnsi"/>
        </w:rPr>
      </w:pPr>
    </w:p>
    <w:p w14:paraId="731EFA62" w14:textId="77777777" w:rsidR="009B03E5" w:rsidRPr="00A50D04" w:rsidRDefault="009B03E5" w:rsidP="009B03E5">
      <w:pPr>
        <w:pStyle w:val="NoSpacing"/>
        <w:contextualSpacing/>
        <w:rPr>
          <w:rFonts w:asciiTheme="majorHAnsi" w:hAnsiTheme="majorHAnsi" w:cstheme="majorHAnsi"/>
        </w:rPr>
      </w:pPr>
      <w:r w:rsidRPr="00A50D04">
        <w:rPr>
          <w:rFonts w:asciiTheme="majorHAnsi" w:hAnsiTheme="majorHAnsi" w:cstheme="majorHAnsi"/>
        </w:rPr>
        <w:lastRenderedPageBreak/>
        <w:t xml:space="preserve">Canadian Centre for Occupational Health and Safety (2016). </w:t>
      </w:r>
      <w:r w:rsidRPr="00A50D04">
        <w:rPr>
          <w:rFonts w:asciiTheme="majorHAnsi" w:hAnsiTheme="majorHAnsi" w:cstheme="majorHAnsi"/>
          <w:i/>
        </w:rPr>
        <w:t>Osh answers fact sheets</w:t>
      </w:r>
      <w:r w:rsidRPr="00A50D04">
        <w:rPr>
          <w:rFonts w:asciiTheme="majorHAnsi" w:hAnsiTheme="majorHAnsi" w:cstheme="majorHAnsi"/>
        </w:rPr>
        <w:t>. https://www.ccohs.ca/oshanswers/hsprograms/hazard_risk.html.</w:t>
      </w:r>
    </w:p>
    <w:p w14:paraId="06787EA9" w14:textId="77777777" w:rsidR="009B03E5" w:rsidRPr="00A50D04" w:rsidRDefault="009B03E5" w:rsidP="009B03E5">
      <w:pPr>
        <w:pStyle w:val="NoSpacing"/>
        <w:ind w:left="720"/>
        <w:contextualSpacing/>
        <w:rPr>
          <w:rFonts w:asciiTheme="majorHAnsi" w:hAnsiTheme="majorHAnsi" w:cstheme="majorHAnsi"/>
        </w:rPr>
      </w:pPr>
    </w:p>
    <w:p w14:paraId="579FD303" w14:textId="77777777" w:rsidR="009B03E5" w:rsidRPr="00A50D04" w:rsidRDefault="009B03E5" w:rsidP="009B03E5">
      <w:pPr>
        <w:pStyle w:val="NoSpacing"/>
        <w:contextualSpacing/>
        <w:rPr>
          <w:rFonts w:asciiTheme="majorHAnsi" w:hAnsiTheme="majorHAnsi" w:cstheme="majorHAnsi"/>
        </w:rPr>
      </w:pPr>
      <w:r w:rsidRPr="00A50D04">
        <w:rPr>
          <w:rFonts w:asciiTheme="majorHAnsi" w:hAnsiTheme="majorHAnsi" w:cstheme="majorHAnsi"/>
        </w:rPr>
        <w:t xml:space="preserve">Canadian Nurses Association (2009). </w:t>
      </w:r>
      <w:r w:rsidRPr="00A50D04">
        <w:rPr>
          <w:rFonts w:asciiTheme="majorHAnsi" w:hAnsiTheme="majorHAnsi" w:cstheme="majorHAnsi"/>
          <w:i/>
        </w:rPr>
        <w:t>Position statement: Nurses and environmental health</w:t>
      </w:r>
      <w:r w:rsidRPr="00A50D04">
        <w:rPr>
          <w:rFonts w:asciiTheme="majorHAnsi" w:hAnsiTheme="majorHAnsi" w:cstheme="majorHAnsi"/>
        </w:rPr>
        <w:t>. https://www.cna-aiic.ca/~/media/cna/page-content/pdf-en/ps105_nurses_env_health_e.pdf?la=en.</w:t>
      </w:r>
    </w:p>
    <w:p w14:paraId="5B05B6EA" w14:textId="77777777" w:rsidR="009B03E5" w:rsidRDefault="009B03E5" w:rsidP="009B03E5">
      <w:pPr>
        <w:pStyle w:val="NoSpacing"/>
        <w:contextualSpacing/>
        <w:rPr>
          <w:rFonts w:asciiTheme="majorHAnsi" w:hAnsiTheme="majorHAnsi" w:cstheme="majorHAnsi"/>
        </w:rPr>
      </w:pPr>
    </w:p>
    <w:p w14:paraId="1C5283AB" w14:textId="5D95E882" w:rsidR="00A50D04" w:rsidRPr="00A50D04" w:rsidRDefault="00A50D04" w:rsidP="009B03E5">
      <w:pPr>
        <w:pStyle w:val="NoSpacing"/>
        <w:contextualSpacing/>
        <w:rPr>
          <w:rFonts w:asciiTheme="majorHAnsi" w:hAnsiTheme="majorHAnsi" w:cstheme="majorHAnsi"/>
        </w:rPr>
      </w:pPr>
      <w:proofErr w:type="spellStart"/>
      <w:r w:rsidRPr="00A50D04">
        <w:rPr>
          <w:rFonts w:asciiTheme="majorHAnsi" w:hAnsiTheme="majorHAnsi" w:cstheme="majorHAnsi"/>
        </w:rPr>
        <w:t>Chea</w:t>
      </w:r>
      <w:proofErr w:type="spellEnd"/>
      <w:r w:rsidRPr="00A50D04">
        <w:rPr>
          <w:rFonts w:asciiTheme="majorHAnsi" w:hAnsiTheme="majorHAnsi" w:cstheme="majorHAnsi"/>
        </w:rPr>
        <w:t xml:space="preserve">, W., </w:t>
      </w:r>
      <w:proofErr w:type="spellStart"/>
      <w:r w:rsidRPr="00A50D04">
        <w:rPr>
          <w:rFonts w:asciiTheme="majorHAnsi" w:hAnsiTheme="majorHAnsi" w:cstheme="majorHAnsi"/>
        </w:rPr>
        <w:t>Giloi</w:t>
      </w:r>
      <w:proofErr w:type="spellEnd"/>
      <w:r w:rsidRPr="00A50D04">
        <w:rPr>
          <w:rFonts w:asciiTheme="majorHAnsi" w:hAnsiTheme="majorHAnsi" w:cstheme="majorHAnsi"/>
        </w:rPr>
        <w:t>, N., Chang, C. &amp; Lim, J. (2012). The perception, level of safety satisfaction and safety feedback on occupational safety and health management among hospital staff nurses in Sabah State Health Department</w:t>
      </w:r>
      <w:r w:rsidRPr="00A50D04">
        <w:rPr>
          <w:rFonts w:asciiTheme="majorHAnsi" w:hAnsiTheme="majorHAnsi" w:cstheme="majorHAnsi"/>
          <w:i/>
        </w:rPr>
        <w:t>. Malays Journal of Medical Science. 19</w:t>
      </w:r>
      <w:r w:rsidRPr="00A50D04">
        <w:rPr>
          <w:rFonts w:asciiTheme="majorHAnsi" w:hAnsiTheme="majorHAnsi" w:cstheme="majorHAnsi"/>
        </w:rPr>
        <w:t>(3), 57-63.</w:t>
      </w:r>
    </w:p>
    <w:p w14:paraId="2491E68D" w14:textId="77777777" w:rsidR="00A50D04" w:rsidRPr="00A50D04" w:rsidRDefault="00A50D04" w:rsidP="009B03E5">
      <w:pPr>
        <w:pStyle w:val="NoSpacing"/>
        <w:ind w:left="720"/>
        <w:contextualSpacing/>
        <w:rPr>
          <w:rFonts w:asciiTheme="majorHAnsi" w:hAnsiTheme="majorHAnsi" w:cstheme="majorHAnsi"/>
          <w:b/>
        </w:rPr>
      </w:pPr>
    </w:p>
    <w:p w14:paraId="46A1BA86" w14:textId="77777777" w:rsidR="009B03E5" w:rsidRPr="00A50D04" w:rsidRDefault="009B03E5" w:rsidP="009B03E5">
      <w:pPr>
        <w:pStyle w:val="NoSpacing"/>
        <w:contextualSpacing/>
        <w:rPr>
          <w:rFonts w:asciiTheme="majorHAnsi" w:hAnsiTheme="majorHAnsi" w:cstheme="majorHAnsi"/>
        </w:rPr>
      </w:pPr>
      <w:r w:rsidRPr="00A50D04">
        <w:rPr>
          <w:rFonts w:asciiTheme="majorHAnsi" w:hAnsiTheme="majorHAnsi" w:cstheme="majorHAnsi"/>
        </w:rPr>
        <w:t xml:space="preserve">CHED Memorandum Order No. 14 series of 2009, </w:t>
      </w:r>
      <w:r w:rsidRPr="00A50D04">
        <w:rPr>
          <w:rFonts w:asciiTheme="majorHAnsi" w:hAnsiTheme="majorHAnsi" w:cstheme="majorHAnsi"/>
          <w:i/>
        </w:rPr>
        <w:t>Policies and standards for Bachelor of Science in Nursing (BSN) program</w:t>
      </w:r>
      <w:r w:rsidRPr="00A50D04">
        <w:rPr>
          <w:rFonts w:asciiTheme="majorHAnsi" w:hAnsiTheme="majorHAnsi" w:cstheme="majorHAnsi"/>
        </w:rPr>
        <w:t xml:space="preserve"> (2009).</w:t>
      </w:r>
    </w:p>
    <w:p w14:paraId="457D85EA" w14:textId="77777777" w:rsidR="009B03E5" w:rsidRPr="00A50D04" w:rsidRDefault="009B03E5" w:rsidP="009B03E5">
      <w:pPr>
        <w:pStyle w:val="NoSpacing"/>
        <w:ind w:left="720"/>
        <w:contextualSpacing/>
        <w:rPr>
          <w:rFonts w:asciiTheme="majorHAnsi" w:hAnsiTheme="majorHAnsi" w:cstheme="majorHAnsi"/>
        </w:rPr>
      </w:pPr>
    </w:p>
    <w:p w14:paraId="032B81E5" w14:textId="77777777" w:rsidR="00A50D04" w:rsidRPr="00A50D04" w:rsidRDefault="00A50D04" w:rsidP="009B03E5">
      <w:pPr>
        <w:pStyle w:val="NoSpacing"/>
        <w:contextualSpacing/>
        <w:rPr>
          <w:rFonts w:asciiTheme="majorHAnsi" w:hAnsiTheme="majorHAnsi" w:cstheme="majorHAnsi"/>
          <w:i/>
        </w:rPr>
      </w:pPr>
      <w:r w:rsidRPr="00A50D04">
        <w:rPr>
          <w:rFonts w:asciiTheme="majorHAnsi" w:hAnsiTheme="majorHAnsi" w:cstheme="majorHAnsi"/>
        </w:rPr>
        <w:t xml:space="preserve">Creswell, J.W. (2003). </w:t>
      </w:r>
      <w:r w:rsidRPr="00A50D04">
        <w:rPr>
          <w:rFonts w:asciiTheme="majorHAnsi" w:hAnsiTheme="majorHAnsi" w:cstheme="majorHAnsi"/>
          <w:i/>
        </w:rPr>
        <w:t xml:space="preserve">Research design: Qualitative, quantitative, and mixed method approaches. </w:t>
      </w:r>
      <w:r w:rsidRPr="00A50D04">
        <w:rPr>
          <w:rFonts w:asciiTheme="majorHAnsi" w:hAnsiTheme="majorHAnsi" w:cstheme="majorHAnsi"/>
        </w:rPr>
        <w:t>Thousand Oaks, London, New Delhi: Sage Publications, Inc.</w:t>
      </w:r>
    </w:p>
    <w:p w14:paraId="3722DC20" w14:textId="77777777" w:rsidR="00A50D04" w:rsidRPr="00A50D04" w:rsidRDefault="00A50D04" w:rsidP="009B03E5">
      <w:pPr>
        <w:pStyle w:val="NoSpacing"/>
        <w:ind w:left="720"/>
        <w:contextualSpacing/>
        <w:rPr>
          <w:rFonts w:asciiTheme="majorHAnsi" w:hAnsiTheme="majorHAnsi" w:cstheme="majorHAnsi"/>
        </w:rPr>
      </w:pPr>
    </w:p>
    <w:p w14:paraId="4F63785D" w14:textId="77777777" w:rsidR="00A50D04" w:rsidRPr="00A50D04" w:rsidRDefault="00A50D04" w:rsidP="009B03E5">
      <w:pPr>
        <w:pStyle w:val="NoSpacing"/>
        <w:contextualSpacing/>
        <w:rPr>
          <w:rFonts w:asciiTheme="majorHAnsi" w:hAnsiTheme="majorHAnsi" w:cstheme="majorHAnsi"/>
        </w:rPr>
      </w:pPr>
      <w:proofErr w:type="spellStart"/>
      <w:r w:rsidRPr="00A50D04">
        <w:rPr>
          <w:rFonts w:asciiTheme="majorHAnsi" w:hAnsiTheme="majorHAnsi" w:cstheme="majorHAnsi"/>
        </w:rPr>
        <w:t>Decano</w:t>
      </w:r>
      <w:proofErr w:type="spellEnd"/>
      <w:r w:rsidRPr="00A50D04">
        <w:rPr>
          <w:rFonts w:asciiTheme="majorHAnsi" w:hAnsiTheme="majorHAnsi" w:cstheme="majorHAnsi"/>
        </w:rPr>
        <w:t xml:space="preserve">, A. G. (2004). </w:t>
      </w:r>
      <w:r w:rsidRPr="00A50D04">
        <w:rPr>
          <w:rFonts w:asciiTheme="majorHAnsi" w:hAnsiTheme="majorHAnsi" w:cstheme="majorHAnsi"/>
          <w:i/>
        </w:rPr>
        <w:t>Notes on torts and damages</w:t>
      </w:r>
      <w:r w:rsidRPr="00A50D04">
        <w:rPr>
          <w:rFonts w:asciiTheme="majorHAnsi" w:hAnsiTheme="majorHAnsi" w:cstheme="majorHAnsi"/>
        </w:rPr>
        <w:t>. Quezon City: Central Lawbook Publishing Co., Inc.</w:t>
      </w:r>
    </w:p>
    <w:p w14:paraId="360D763B" w14:textId="77777777" w:rsidR="00A50D04" w:rsidRPr="00A50D04" w:rsidRDefault="00A50D04" w:rsidP="009B03E5">
      <w:pPr>
        <w:ind w:left="720"/>
        <w:contextualSpacing/>
        <w:rPr>
          <w:rFonts w:asciiTheme="majorHAnsi" w:hAnsiTheme="majorHAnsi" w:cstheme="majorHAnsi"/>
          <w:sz w:val="22"/>
          <w:szCs w:val="22"/>
          <w:lang w:val="id-ID"/>
        </w:rPr>
      </w:pPr>
    </w:p>
    <w:p w14:paraId="0C46883E" w14:textId="77777777" w:rsidR="00A50D04" w:rsidRPr="00A50D04" w:rsidRDefault="00A50D04" w:rsidP="009B03E5">
      <w:pPr>
        <w:pStyle w:val="NoSpacing"/>
        <w:contextualSpacing/>
        <w:rPr>
          <w:rFonts w:asciiTheme="majorHAnsi" w:hAnsiTheme="majorHAnsi" w:cstheme="majorHAnsi"/>
        </w:rPr>
      </w:pPr>
      <w:r w:rsidRPr="00A50D04">
        <w:rPr>
          <w:rFonts w:asciiTheme="majorHAnsi" w:hAnsiTheme="majorHAnsi" w:cstheme="majorHAnsi"/>
        </w:rPr>
        <w:t xml:space="preserve">De Castro, A. B., Cabrera, S. L., Gee, G. C., </w:t>
      </w:r>
      <w:proofErr w:type="spellStart"/>
      <w:r w:rsidRPr="00A50D04">
        <w:rPr>
          <w:rFonts w:asciiTheme="majorHAnsi" w:hAnsiTheme="majorHAnsi" w:cstheme="majorHAnsi"/>
        </w:rPr>
        <w:t>Fujishiro</w:t>
      </w:r>
      <w:proofErr w:type="spellEnd"/>
      <w:r w:rsidRPr="00A50D04">
        <w:rPr>
          <w:rFonts w:asciiTheme="majorHAnsi" w:hAnsiTheme="majorHAnsi" w:cstheme="majorHAnsi"/>
        </w:rPr>
        <w:t xml:space="preserve">, K. &amp; Tagalog, E. A. (2007). Occupational health and safety issues among nurses in the Philippines. </w:t>
      </w:r>
      <w:r w:rsidRPr="00A50D04">
        <w:rPr>
          <w:rFonts w:asciiTheme="majorHAnsi" w:hAnsiTheme="majorHAnsi" w:cstheme="majorHAnsi"/>
          <w:i/>
        </w:rPr>
        <w:t>American Association of Occupational Health Nurses Association Journal 57</w:t>
      </w:r>
      <w:r w:rsidRPr="00A50D04">
        <w:rPr>
          <w:rFonts w:asciiTheme="majorHAnsi" w:hAnsiTheme="majorHAnsi" w:cstheme="majorHAnsi"/>
        </w:rPr>
        <w:t>(4), 149-157.</w:t>
      </w:r>
    </w:p>
    <w:p w14:paraId="08E55DE9" w14:textId="77777777" w:rsidR="00A50D04" w:rsidRPr="00A50D04" w:rsidRDefault="00A50D04" w:rsidP="009B03E5">
      <w:pPr>
        <w:pStyle w:val="NoSpacing"/>
        <w:ind w:left="720"/>
        <w:contextualSpacing/>
        <w:rPr>
          <w:rFonts w:asciiTheme="majorHAnsi" w:hAnsiTheme="majorHAnsi" w:cstheme="majorHAnsi"/>
          <w:b/>
        </w:rPr>
      </w:pPr>
    </w:p>
    <w:p w14:paraId="62506DA3" w14:textId="77777777" w:rsidR="00A50D04" w:rsidRPr="00A50D04" w:rsidRDefault="00A50D04" w:rsidP="009B03E5">
      <w:pPr>
        <w:contextualSpacing/>
        <w:rPr>
          <w:rFonts w:asciiTheme="majorHAnsi" w:hAnsiTheme="majorHAnsi" w:cstheme="majorHAnsi"/>
          <w:sz w:val="22"/>
          <w:szCs w:val="22"/>
        </w:rPr>
      </w:pPr>
      <w:proofErr w:type="spellStart"/>
      <w:r w:rsidRPr="00A50D04">
        <w:rPr>
          <w:rFonts w:asciiTheme="majorHAnsi" w:hAnsiTheme="majorHAnsi" w:cstheme="majorHAnsi"/>
          <w:sz w:val="22"/>
          <w:szCs w:val="22"/>
        </w:rPr>
        <w:t>Eljedi</w:t>
      </w:r>
      <w:proofErr w:type="spellEnd"/>
      <w:r w:rsidRPr="00A50D04">
        <w:rPr>
          <w:rFonts w:asciiTheme="majorHAnsi" w:hAnsiTheme="majorHAnsi" w:cstheme="majorHAnsi"/>
          <w:sz w:val="22"/>
          <w:szCs w:val="22"/>
        </w:rPr>
        <w:t xml:space="preserve">, A. (2015). Prevalence and response to occupational hazards among nursing students in Gaza Strip, Palestine: The Role of Personal Protective Equipment and Safety Regulations. </w:t>
      </w:r>
      <w:r w:rsidRPr="00A50D04">
        <w:rPr>
          <w:rFonts w:asciiTheme="majorHAnsi" w:hAnsiTheme="majorHAnsi" w:cstheme="majorHAnsi"/>
          <w:i/>
          <w:sz w:val="22"/>
          <w:szCs w:val="22"/>
        </w:rPr>
        <w:t>Public Health Research 2015</w:t>
      </w:r>
      <w:r w:rsidRPr="00A50D04">
        <w:rPr>
          <w:rFonts w:asciiTheme="majorHAnsi" w:hAnsiTheme="majorHAnsi" w:cstheme="majorHAnsi"/>
          <w:sz w:val="22"/>
          <w:szCs w:val="22"/>
        </w:rPr>
        <w:t>, 5(1): 32-38 DOI: 10.5923/j.phr.20150501.06</w:t>
      </w:r>
    </w:p>
    <w:p w14:paraId="428AF6AF" w14:textId="77777777" w:rsidR="00A50D04" w:rsidRPr="00A50D04" w:rsidRDefault="00A50D04" w:rsidP="009B03E5">
      <w:pPr>
        <w:ind w:left="720"/>
        <w:contextualSpacing/>
        <w:rPr>
          <w:rFonts w:asciiTheme="majorHAnsi" w:hAnsiTheme="majorHAnsi" w:cstheme="majorHAnsi"/>
          <w:sz w:val="22"/>
          <w:szCs w:val="22"/>
        </w:rPr>
      </w:pPr>
    </w:p>
    <w:p w14:paraId="682663B3" w14:textId="77777777" w:rsidR="00A50D04" w:rsidRPr="00A50D04" w:rsidRDefault="00A50D04" w:rsidP="009B03E5">
      <w:pPr>
        <w:pStyle w:val="NoSpacing"/>
        <w:contextualSpacing/>
        <w:rPr>
          <w:rFonts w:asciiTheme="majorHAnsi" w:hAnsiTheme="majorHAnsi" w:cstheme="majorHAnsi"/>
        </w:rPr>
      </w:pPr>
      <w:proofErr w:type="spellStart"/>
      <w:r w:rsidRPr="00A50D04">
        <w:rPr>
          <w:rFonts w:asciiTheme="majorHAnsi" w:hAnsiTheme="majorHAnsi" w:cstheme="majorHAnsi"/>
        </w:rPr>
        <w:t>Flin</w:t>
      </w:r>
      <w:proofErr w:type="spellEnd"/>
      <w:r w:rsidRPr="00A50D04">
        <w:rPr>
          <w:rFonts w:asciiTheme="majorHAnsi" w:hAnsiTheme="majorHAnsi" w:cstheme="majorHAnsi"/>
        </w:rPr>
        <w:t xml:space="preserve">, R., Burn, C., Mearns, K., Yule, S. &amp; Robertson, E.M. (2006). Measuring safety </w:t>
      </w:r>
      <w:r w:rsidRPr="00A50D04">
        <w:rPr>
          <w:rFonts w:asciiTheme="majorHAnsi" w:hAnsiTheme="majorHAnsi" w:cstheme="majorHAnsi"/>
        </w:rPr>
        <w:t xml:space="preserve">climate in health care. </w:t>
      </w:r>
      <w:r w:rsidRPr="00A50D04">
        <w:rPr>
          <w:rFonts w:asciiTheme="majorHAnsi" w:hAnsiTheme="majorHAnsi" w:cstheme="majorHAnsi"/>
          <w:i/>
        </w:rPr>
        <w:t xml:space="preserve">Qual </w:t>
      </w:r>
      <w:proofErr w:type="spellStart"/>
      <w:r w:rsidRPr="00A50D04">
        <w:rPr>
          <w:rFonts w:asciiTheme="majorHAnsi" w:hAnsiTheme="majorHAnsi" w:cstheme="majorHAnsi"/>
          <w:i/>
        </w:rPr>
        <w:t>Saf</w:t>
      </w:r>
      <w:proofErr w:type="spellEnd"/>
      <w:r w:rsidRPr="00A50D04">
        <w:rPr>
          <w:rFonts w:asciiTheme="majorHAnsi" w:hAnsiTheme="majorHAnsi" w:cstheme="majorHAnsi"/>
          <w:i/>
        </w:rPr>
        <w:t xml:space="preserve"> Health Care 2006 15, </w:t>
      </w:r>
      <w:r w:rsidRPr="00A50D04">
        <w:rPr>
          <w:rFonts w:asciiTheme="majorHAnsi" w:hAnsiTheme="majorHAnsi" w:cstheme="majorHAnsi"/>
        </w:rPr>
        <w:t>109-115.</w:t>
      </w:r>
    </w:p>
    <w:p w14:paraId="23CBB8D9" w14:textId="77777777" w:rsidR="00A50D04" w:rsidRPr="00A50D04" w:rsidRDefault="00A50D04" w:rsidP="009B03E5">
      <w:pPr>
        <w:ind w:left="720"/>
        <w:contextualSpacing/>
        <w:rPr>
          <w:rFonts w:asciiTheme="majorHAnsi" w:hAnsiTheme="majorHAnsi" w:cstheme="majorHAnsi"/>
          <w:sz w:val="22"/>
          <w:szCs w:val="22"/>
        </w:rPr>
      </w:pPr>
    </w:p>
    <w:p w14:paraId="597F291C" w14:textId="77777777" w:rsidR="00A50D04" w:rsidRPr="00A50D04" w:rsidRDefault="00A50D04" w:rsidP="009B03E5">
      <w:pPr>
        <w:contextualSpacing/>
        <w:rPr>
          <w:rFonts w:asciiTheme="majorHAnsi" w:hAnsiTheme="majorHAnsi" w:cstheme="majorHAnsi"/>
          <w:sz w:val="22"/>
          <w:szCs w:val="22"/>
        </w:rPr>
      </w:pPr>
      <w:proofErr w:type="spellStart"/>
      <w:r w:rsidRPr="00A50D04">
        <w:rPr>
          <w:rFonts w:asciiTheme="majorHAnsi" w:hAnsiTheme="majorHAnsi" w:cstheme="majorHAnsi"/>
          <w:sz w:val="22"/>
          <w:szCs w:val="22"/>
        </w:rPr>
        <w:t>Golubic</w:t>
      </w:r>
      <w:proofErr w:type="spellEnd"/>
      <w:r w:rsidRPr="00A50D04">
        <w:rPr>
          <w:rFonts w:asciiTheme="majorHAnsi" w:hAnsiTheme="majorHAnsi" w:cstheme="majorHAnsi"/>
          <w:sz w:val="22"/>
          <w:szCs w:val="22"/>
        </w:rPr>
        <w:t xml:space="preserve">, R., Milosevic, M., </w:t>
      </w:r>
      <w:proofErr w:type="spellStart"/>
      <w:r w:rsidRPr="00A50D04">
        <w:rPr>
          <w:rFonts w:asciiTheme="majorHAnsi" w:hAnsiTheme="majorHAnsi" w:cstheme="majorHAnsi"/>
          <w:sz w:val="22"/>
          <w:szCs w:val="22"/>
        </w:rPr>
        <w:t>Knezevic</w:t>
      </w:r>
      <w:proofErr w:type="spellEnd"/>
      <w:r w:rsidRPr="00A50D04">
        <w:rPr>
          <w:rFonts w:asciiTheme="majorHAnsi" w:hAnsiTheme="majorHAnsi" w:cstheme="majorHAnsi"/>
          <w:sz w:val="22"/>
          <w:szCs w:val="22"/>
        </w:rPr>
        <w:t xml:space="preserve">, B. and </w:t>
      </w:r>
      <w:proofErr w:type="spellStart"/>
      <w:r w:rsidRPr="00A50D04">
        <w:rPr>
          <w:rFonts w:asciiTheme="majorHAnsi" w:hAnsiTheme="majorHAnsi" w:cstheme="majorHAnsi"/>
          <w:sz w:val="22"/>
          <w:szCs w:val="22"/>
        </w:rPr>
        <w:t>Mustajbegovic</w:t>
      </w:r>
      <w:proofErr w:type="spellEnd"/>
      <w:r w:rsidRPr="00A50D04">
        <w:rPr>
          <w:rFonts w:asciiTheme="majorHAnsi" w:hAnsiTheme="majorHAnsi" w:cstheme="majorHAnsi"/>
          <w:sz w:val="22"/>
          <w:szCs w:val="22"/>
        </w:rPr>
        <w:t xml:space="preserve">, J. (2009), Work-related stress, education and work ability among hospital nurses. </w:t>
      </w:r>
      <w:r w:rsidRPr="00A50D04">
        <w:rPr>
          <w:rFonts w:asciiTheme="majorHAnsi" w:hAnsiTheme="majorHAnsi" w:cstheme="majorHAnsi"/>
          <w:i/>
          <w:sz w:val="22"/>
          <w:szCs w:val="22"/>
        </w:rPr>
        <w:t>Journal of Advanced Nursing</w:t>
      </w:r>
      <w:r w:rsidRPr="00A50D04">
        <w:rPr>
          <w:rFonts w:asciiTheme="majorHAnsi" w:hAnsiTheme="majorHAnsi" w:cstheme="majorHAnsi"/>
          <w:sz w:val="22"/>
          <w:szCs w:val="22"/>
        </w:rPr>
        <w:t xml:space="preserve">, 65: 2056–2066. </w:t>
      </w:r>
      <w:proofErr w:type="spellStart"/>
      <w:r w:rsidRPr="00A50D04">
        <w:rPr>
          <w:rFonts w:asciiTheme="majorHAnsi" w:hAnsiTheme="majorHAnsi" w:cstheme="majorHAnsi"/>
          <w:sz w:val="22"/>
          <w:szCs w:val="22"/>
        </w:rPr>
        <w:t>doi</w:t>
      </w:r>
      <w:proofErr w:type="spellEnd"/>
      <w:r w:rsidRPr="00A50D04">
        <w:rPr>
          <w:rFonts w:asciiTheme="majorHAnsi" w:hAnsiTheme="majorHAnsi" w:cstheme="majorHAnsi"/>
          <w:sz w:val="22"/>
          <w:szCs w:val="22"/>
        </w:rPr>
        <w:t>: 10.1111/j.1365-2648.2009.</w:t>
      </w:r>
      <w:proofErr w:type="gramStart"/>
      <w:r w:rsidRPr="00A50D04">
        <w:rPr>
          <w:rFonts w:asciiTheme="majorHAnsi" w:hAnsiTheme="majorHAnsi" w:cstheme="majorHAnsi"/>
          <w:sz w:val="22"/>
          <w:szCs w:val="22"/>
        </w:rPr>
        <w:t>05057.x.</w:t>
      </w:r>
      <w:proofErr w:type="gramEnd"/>
    </w:p>
    <w:p w14:paraId="7E58ED90" w14:textId="77777777" w:rsidR="00A50D04" w:rsidRPr="00A50D04" w:rsidRDefault="00A50D04" w:rsidP="009B03E5">
      <w:pPr>
        <w:ind w:left="720"/>
        <w:contextualSpacing/>
        <w:rPr>
          <w:rFonts w:asciiTheme="majorHAnsi" w:hAnsiTheme="majorHAnsi" w:cstheme="majorHAnsi"/>
          <w:sz w:val="22"/>
          <w:szCs w:val="22"/>
        </w:rPr>
      </w:pPr>
    </w:p>
    <w:p w14:paraId="2CA5F3F6" w14:textId="77777777" w:rsidR="009B03E5" w:rsidRPr="00A50D04" w:rsidRDefault="009B03E5" w:rsidP="009B03E5">
      <w:pPr>
        <w:pStyle w:val="NoSpacing"/>
        <w:ind w:left="720"/>
        <w:contextualSpacing/>
        <w:rPr>
          <w:rFonts w:asciiTheme="majorHAnsi" w:hAnsiTheme="majorHAnsi" w:cstheme="majorHAnsi"/>
        </w:rPr>
      </w:pPr>
    </w:p>
    <w:p w14:paraId="758CF00B" w14:textId="77777777" w:rsidR="009B03E5" w:rsidRPr="00A50D04" w:rsidRDefault="009B03E5" w:rsidP="009B03E5">
      <w:pPr>
        <w:contextualSpacing/>
        <w:rPr>
          <w:rFonts w:asciiTheme="majorHAnsi" w:hAnsiTheme="majorHAnsi" w:cstheme="majorHAnsi"/>
          <w:sz w:val="22"/>
          <w:szCs w:val="22"/>
        </w:rPr>
      </w:pPr>
      <w:r w:rsidRPr="00A50D04">
        <w:rPr>
          <w:rFonts w:asciiTheme="majorHAnsi" w:hAnsiTheme="majorHAnsi" w:cstheme="majorHAnsi"/>
          <w:sz w:val="22"/>
          <w:szCs w:val="22"/>
        </w:rPr>
        <w:t xml:space="preserve">Gooch, K. (2015). </w:t>
      </w:r>
      <w:r w:rsidRPr="00A50D04">
        <w:rPr>
          <w:rFonts w:asciiTheme="majorHAnsi" w:hAnsiTheme="majorHAnsi" w:cstheme="majorHAnsi"/>
          <w:i/>
          <w:sz w:val="22"/>
          <w:szCs w:val="22"/>
        </w:rPr>
        <w:t>4 common nursing hazards demanding hospital’s attention</w:t>
      </w:r>
      <w:r w:rsidRPr="00A50D04">
        <w:rPr>
          <w:rFonts w:asciiTheme="majorHAnsi" w:hAnsiTheme="majorHAnsi" w:cstheme="majorHAnsi"/>
          <w:sz w:val="22"/>
          <w:szCs w:val="22"/>
        </w:rPr>
        <w:t>. Becker’s Infection Control &amp; Clinical Quality. http://www.beckershospitalreview.com/quality/4-common-nursing-hazards-demanding-hospitals-attention.html.</w:t>
      </w:r>
    </w:p>
    <w:p w14:paraId="3AE1C15E" w14:textId="77777777" w:rsidR="009B03E5" w:rsidRPr="00A50D04" w:rsidRDefault="009B03E5" w:rsidP="009B03E5">
      <w:pPr>
        <w:ind w:left="720"/>
        <w:contextualSpacing/>
        <w:rPr>
          <w:rFonts w:asciiTheme="majorHAnsi" w:hAnsiTheme="majorHAnsi" w:cstheme="majorHAnsi"/>
          <w:sz w:val="22"/>
          <w:szCs w:val="22"/>
        </w:rPr>
      </w:pPr>
    </w:p>
    <w:p w14:paraId="349E97B6" w14:textId="77777777" w:rsidR="00A50D04" w:rsidRPr="00A50D04" w:rsidRDefault="00A50D04" w:rsidP="009B03E5">
      <w:pPr>
        <w:contextualSpacing/>
        <w:rPr>
          <w:rFonts w:asciiTheme="majorHAnsi" w:hAnsiTheme="majorHAnsi" w:cstheme="majorHAnsi"/>
          <w:sz w:val="22"/>
          <w:szCs w:val="22"/>
        </w:rPr>
      </w:pPr>
      <w:r w:rsidRPr="00A50D04">
        <w:rPr>
          <w:rFonts w:asciiTheme="majorHAnsi" w:hAnsiTheme="majorHAnsi" w:cstheme="majorHAnsi"/>
          <w:sz w:val="22"/>
          <w:szCs w:val="22"/>
        </w:rPr>
        <w:t xml:space="preserve">Hussain, J.S.A., Ram, S.M., </w:t>
      </w:r>
      <w:proofErr w:type="spellStart"/>
      <w:r w:rsidRPr="00A50D04">
        <w:rPr>
          <w:rFonts w:asciiTheme="majorHAnsi" w:hAnsiTheme="majorHAnsi" w:cstheme="majorHAnsi"/>
          <w:sz w:val="22"/>
          <w:szCs w:val="22"/>
        </w:rPr>
        <w:t>Galinde</w:t>
      </w:r>
      <w:proofErr w:type="spellEnd"/>
      <w:r w:rsidRPr="00A50D04">
        <w:rPr>
          <w:rFonts w:asciiTheme="majorHAnsi" w:hAnsiTheme="majorHAnsi" w:cstheme="majorHAnsi"/>
          <w:sz w:val="22"/>
          <w:szCs w:val="22"/>
        </w:rPr>
        <w:t xml:space="preserve">, J., and </w:t>
      </w:r>
      <w:proofErr w:type="spellStart"/>
      <w:r w:rsidRPr="00A50D04">
        <w:rPr>
          <w:rFonts w:asciiTheme="majorHAnsi" w:hAnsiTheme="majorHAnsi" w:cstheme="majorHAnsi"/>
          <w:sz w:val="22"/>
          <w:szCs w:val="22"/>
        </w:rPr>
        <w:t>Jingade</w:t>
      </w:r>
      <w:proofErr w:type="spellEnd"/>
      <w:r w:rsidRPr="00A50D04">
        <w:rPr>
          <w:rFonts w:asciiTheme="majorHAnsi" w:hAnsiTheme="majorHAnsi" w:cstheme="majorHAnsi"/>
          <w:sz w:val="22"/>
          <w:szCs w:val="22"/>
        </w:rPr>
        <w:t xml:space="preserve">, R.R.K. (2012): Occupational exposure to sharp instrument injuries among dental, medical and nursing students in Mahatma Gandhi Mission’s Campus, Navi Mumbai, India. </w:t>
      </w:r>
      <w:r w:rsidRPr="00A50D04">
        <w:rPr>
          <w:rFonts w:asciiTheme="majorHAnsi" w:hAnsiTheme="majorHAnsi" w:cstheme="majorHAnsi"/>
          <w:i/>
          <w:sz w:val="22"/>
          <w:szCs w:val="22"/>
        </w:rPr>
        <w:t>Journal of Contemporary Dentistry</w:t>
      </w:r>
      <w:r w:rsidRPr="00A50D04">
        <w:rPr>
          <w:rFonts w:asciiTheme="majorHAnsi" w:hAnsiTheme="majorHAnsi" w:cstheme="majorHAnsi"/>
          <w:sz w:val="22"/>
          <w:szCs w:val="22"/>
        </w:rPr>
        <w:t>, 2(2):1-10.</w:t>
      </w:r>
    </w:p>
    <w:p w14:paraId="432EF842" w14:textId="77777777" w:rsidR="00A50D04" w:rsidRPr="00A50D04" w:rsidRDefault="00A50D04" w:rsidP="009B03E5">
      <w:pPr>
        <w:ind w:left="720"/>
        <w:contextualSpacing/>
        <w:rPr>
          <w:rFonts w:asciiTheme="majorHAnsi" w:hAnsiTheme="majorHAnsi" w:cstheme="majorHAnsi"/>
          <w:sz w:val="22"/>
          <w:szCs w:val="22"/>
        </w:rPr>
      </w:pPr>
    </w:p>
    <w:p w14:paraId="7BF6DF54" w14:textId="77777777" w:rsidR="00A50D04" w:rsidRPr="00A50D04" w:rsidRDefault="00A50D04" w:rsidP="009B03E5">
      <w:pPr>
        <w:pStyle w:val="NoSpacing"/>
        <w:contextualSpacing/>
        <w:rPr>
          <w:rFonts w:asciiTheme="majorHAnsi" w:hAnsiTheme="majorHAnsi" w:cstheme="majorHAnsi"/>
        </w:rPr>
      </w:pPr>
      <w:proofErr w:type="spellStart"/>
      <w:r w:rsidRPr="00A50D04">
        <w:rPr>
          <w:rFonts w:asciiTheme="majorHAnsi" w:hAnsiTheme="majorHAnsi" w:cstheme="majorHAnsi"/>
        </w:rPr>
        <w:t>Javed</w:t>
      </w:r>
      <w:proofErr w:type="spellEnd"/>
      <w:r w:rsidRPr="00A50D04">
        <w:rPr>
          <w:rFonts w:asciiTheme="majorHAnsi" w:hAnsiTheme="majorHAnsi" w:cstheme="majorHAnsi"/>
        </w:rPr>
        <w:t xml:space="preserve">, S. &amp; Yaqoob, T. (2011). Gender based occupational health hazards among paramedical staff in public hospitals of Jhelum. </w:t>
      </w:r>
      <w:r w:rsidRPr="00A50D04">
        <w:rPr>
          <w:rFonts w:asciiTheme="majorHAnsi" w:hAnsiTheme="majorHAnsi" w:cstheme="majorHAnsi"/>
          <w:i/>
        </w:rPr>
        <w:t xml:space="preserve">International Journal of Humanities and Social Science. </w:t>
      </w:r>
      <w:r w:rsidRPr="00A50D04">
        <w:rPr>
          <w:rFonts w:asciiTheme="majorHAnsi" w:hAnsiTheme="majorHAnsi" w:cstheme="majorHAnsi"/>
        </w:rPr>
        <w:t>1(3), 175-180.</w:t>
      </w:r>
    </w:p>
    <w:p w14:paraId="48E2942C" w14:textId="77777777" w:rsidR="00A50D04" w:rsidRPr="00A50D04" w:rsidRDefault="00A50D04" w:rsidP="009B03E5">
      <w:pPr>
        <w:pStyle w:val="NoSpacing"/>
        <w:ind w:left="720"/>
        <w:contextualSpacing/>
        <w:rPr>
          <w:rFonts w:asciiTheme="majorHAnsi" w:hAnsiTheme="majorHAnsi" w:cstheme="majorHAnsi"/>
        </w:rPr>
      </w:pPr>
    </w:p>
    <w:p w14:paraId="375B4329" w14:textId="77777777" w:rsidR="00A50D04" w:rsidRPr="00A50D04" w:rsidRDefault="00A50D04" w:rsidP="009B03E5">
      <w:pPr>
        <w:pStyle w:val="NoSpacing"/>
        <w:contextualSpacing/>
        <w:rPr>
          <w:rFonts w:asciiTheme="majorHAnsi" w:hAnsiTheme="majorHAnsi" w:cstheme="majorHAnsi"/>
        </w:rPr>
      </w:pPr>
      <w:r w:rsidRPr="00A50D04">
        <w:rPr>
          <w:rFonts w:asciiTheme="majorHAnsi" w:hAnsiTheme="majorHAnsi" w:cstheme="majorHAnsi"/>
        </w:rPr>
        <w:t xml:space="preserve">Karahan, A., </w:t>
      </w:r>
      <w:proofErr w:type="spellStart"/>
      <w:r w:rsidRPr="00A50D04">
        <w:rPr>
          <w:rFonts w:asciiTheme="majorHAnsi" w:hAnsiTheme="majorHAnsi" w:cstheme="majorHAnsi"/>
        </w:rPr>
        <w:t>Kav</w:t>
      </w:r>
      <w:proofErr w:type="spellEnd"/>
      <w:r w:rsidRPr="00A50D04">
        <w:rPr>
          <w:rFonts w:asciiTheme="majorHAnsi" w:hAnsiTheme="majorHAnsi" w:cstheme="majorHAnsi"/>
        </w:rPr>
        <w:t xml:space="preserve">, S., </w:t>
      </w:r>
      <w:proofErr w:type="spellStart"/>
      <w:r w:rsidRPr="00A50D04">
        <w:rPr>
          <w:rFonts w:asciiTheme="majorHAnsi" w:hAnsiTheme="majorHAnsi" w:cstheme="majorHAnsi"/>
        </w:rPr>
        <w:t>Abbasoglu</w:t>
      </w:r>
      <w:proofErr w:type="spellEnd"/>
      <w:r w:rsidRPr="00A50D04">
        <w:rPr>
          <w:rFonts w:asciiTheme="majorHAnsi" w:hAnsiTheme="majorHAnsi" w:cstheme="majorHAnsi"/>
        </w:rPr>
        <w:t xml:space="preserve">, A. and Dogan, N. (2009), Low back pain: prevalence and associated risk factors among hospital staff. </w:t>
      </w:r>
      <w:r w:rsidRPr="00A50D04">
        <w:rPr>
          <w:rFonts w:asciiTheme="majorHAnsi" w:hAnsiTheme="majorHAnsi" w:cstheme="majorHAnsi"/>
          <w:i/>
        </w:rPr>
        <w:t>Journal of Advanced Nursing</w:t>
      </w:r>
      <w:r w:rsidRPr="00A50D04">
        <w:rPr>
          <w:rFonts w:asciiTheme="majorHAnsi" w:hAnsiTheme="majorHAnsi" w:cstheme="majorHAnsi"/>
        </w:rPr>
        <w:t xml:space="preserve">, 65: 516–524. </w:t>
      </w:r>
      <w:proofErr w:type="spellStart"/>
      <w:r w:rsidRPr="00A50D04">
        <w:rPr>
          <w:rFonts w:asciiTheme="majorHAnsi" w:hAnsiTheme="majorHAnsi" w:cstheme="majorHAnsi"/>
        </w:rPr>
        <w:t>doi</w:t>
      </w:r>
      <w:proofErr w:type="spellEnd"/>
      <w:r w:rsidRPr="00A50D04">
        <w:rPr>
          <w:rFonts w:asciiTheme="majorHAnsi" w:hAnsiTheme="majorHAnsi" w:cstheme="majorHAnsi"/>
        </w:rPr>
        <w:t>: 10.1111/j.1365-2648.</w:t>
      </w:r>
      <w:proofErr w:type="gramStart"/>
      <w:r w:rsidRPr="00A50D04">
        <w:rPr>
          <w:rFonts w:asciiTheme="majorHAnsi" w:hAnsiTheme="majorHAnsi" w:cstheme="majorHAnsi"/>
        </w:rPr>
        <w:t>2008.04905.x</w:t>
      </w:r>
      <w:proofErr w:type="gramEnd"/>
    </w:p>
    <w:p w14:paraId="432C5A4E" w14:textId="77777777" w:rsidR="00A50D04" w:rsidRPr="00A50D04" w:rsidRDefault="00A50D04" w:rsidP="009B03E5">
      <w:pPr>
        <w:pStyle w:val="NoSpacing"/>
        <w:ind w:left="720"/>
        <w:contextualSpacing/>
        <w:rPr>
          <w:rFonts w:asciiTheme="majorHAnsi" w:hAnsiTheme="majorHAnsi" w:cstheme="majorHAnsi"/>
          <w:b/>
        </w:rPr>
      </w:pPr>
    </w:p>
    <w:p w14:paraId="17913715" w14:textId="77777777" w:rsidR="00A50D04" w:rsidRPr="00A50D04" w:rsidRDefault="00A50D04" w:rsidP="009B03E5">
      <w:pPr>
        <w:contextualSpacing/>
        <w:rPr>
          <w:rFonts w:asciiTheme="majorHAnsi" w:hAnsiTheme="majorHAnsi" w:cstheme="majorHAnsi"/>
          <w:sz w:val="22"/>
          <w:szCs w:val="22"/>
        </w:rPr>
      </w:pPr>
      <w:r w:rsidRPr="00A50D04">
        <w:rPr>
          <w:rFonts w:asciiTheme="majorHAnsi" w:hAnsiTheme="majorHAnsi" w:cstheme="majorHAnsi"/>
          <w:sz w:val="22"/>
          <w:szCs w:val="22"/>
        </w:rPr>
        <w:t xml:space="preserve">Law, W., Chan, A., Pun, K. (2006) </w:t>
      </w:r>
      <w:proofErr w:type="spellStart"/>
      <w:r w:rsidRPr="00A50D04">
        <w:rPr>
          <w:rFonts w:asciiTheme="majorHAnsi" w:hAnsiTheme="majorHAnsi" w:cstheme="majorHAnsi"/>
          <w:sz w:val="22"/>
          <w:szCs w:val="22"/>
        </w:rPr>
        <w:t>Prioritising</w:t>
      </w:r>
      <w:proofErr w:type="spellEnd"/>
      <w:r w:rsidRPr="00A50D04">
        <w:rPr>
          <w:rFonts w:asciiTheme="majorHAnsi" w:hAnsiTheme="majorHAnsi" w:cstheme="majorHAnsi"/>
          <w:sz w:val="22"/>
          <w:szCs w:val="22"/>
        </w:rPr>
        <w:t xml:space="preserve"> the safety management elements: A hierarchical analysis for manufacturing enterprises. </w:t>
      </w:r>
      <w:r w:rsidRPr="00A50D04">
        <w:rPr>
          <w:rFonts w:asciiTheme="majorHAnsi" w:hAnsiTheme="majorHAnsi" w:cstheme="majorHAnsi"/>
          <w:i/>
          <w:sz w:val="22"/>
          <w:szCs w:val="22"/>
        </w:rPr>
        <w:t>Industrial Management &amp; Data Systems</w:t>
      </w:r>
      <w:r w:rsidRPr="00A50D04">
        <w:rPr>
          <w:rFonts w:asciiTheme="majorHAnsi" w:hAnsiTheme="majorHAnsi" w:cstheme="majorHAnsi"/>
          <w:sz w:val="22"/>
          <w:szCs w:val="22"/>
        </w:rPr>
        <w:t>. 106(6), 778 – 792.</w:t>
      </w:r>
    </w:p>
    <w:p w14:paraId="38FAE4D0" w14:textId="77777777" w:rsidR="00A50D04" w:rsidRPr="00A50D04" w:rsidRDefault="00A50D04" w:rsidP="009B03E5">
      <w:pPr>
        <w:pStyle w:val="NoSpacing"/>
        <w:ind w:left="720"/>
        <w:contextualSpacing/>
        <w:rPr>
          <w:rFonts w:asciiTheme="majorHAnsi" w:hAnsiTheme="majorHAnsi" w:cstheme="majorHAnsi"/>
          <w:b/>
        </w:rPr>
      </w:pPr>
    </w:p>
    <w:p w14:paraId="588BCD12" w14:textId="77777777" w:rsidR="009B03E5" w:rsidRPr="00A50D04" w:rsidRDefault="009B03E5" w:rsidP="009B03E5">
      <w:pPr>
        <w:pStyle w:val="NoSpacing"/>
        <w:contextualSpacing/>
        <w:rPr>
          <w:rFonts w:asciiTheme="majorHAnsi" w:hAnsiTheme="majorHAnsi" w:cstheme="majorHAnsi"/>
        </w:rPr>
      </w:pPr>
      <w:r w:rsidRPr="00A50D04">
        <w:rPr>
          <w:rFonts w:asciiTheme="majorHAnsi" w:hAnsiTheme="majorHAnsi" w:cstheme="majorHAnsi"/>
        </w:rPr>
        <w:t xml:space="preserve">McKenna, L., French, J., Jameson, M., </w:t>
      </w:r>
      <w:proofErr w:type="spellStart"/>
      <w:r w:rsidRPr="00A50D04">
        <w:rPr>
          <w:rFonts w:asciiTheme="majorHAnsi" w:hAnsiTheme="majorHAnsi" w:cstheme="majorHAnsi"/>
        </w:rPr>
        <w:t>Habner</w:t>
      </w:r>
      <w:proofErr w:type="spellEnd"/>
      <w:r w:rsidRPr="00A50D04">
        <w:rPr>
          <w:rFonts w:asciiTheme="majorHAnsi" w:hAnsiTheme="majorHAnsi" w:cstheme="majorHAnsi"/>
        </w:rPr>
        <w:t xml:space="preserve">, M. &amp; Wilson, E. (2006). </w:t>
      </w:r>
      <w:r w:rsidRPr="00A50D04">
        <w:rPr>
          <w:rFonts w:asciiTheme="majorHAnsi" w:hAnsiTheme="majorHAnsi" w:cstheme="majorHAnsi"/>
          <w:i/>
        </w:rPr>
        <w:t>Exploring the potential of undergraduate night duty clinical placement for nursing readiness</w:t>
      </w:r>
      <w:r w:rsidRPr="00A50D04">
        <w:rPr>
          <w:rFonts w:asciiTheme="majorHAnsi" w:hAnsiTheme="majorHAnsi" w:cstheme="majorHAnsi"/>
        </w:rPr>
        <w:t xml:space="preserve">. </w:t>
      </w:r>
    </w:p>
    <w:p w14:paraId="064723CE" w14:textId="77777777" w:rsidR="009B03E5" w:rsidRPr="00A50D04" w:rsidRDefault="009B03E5" w:rsidP="009B03E5">
      <w:pPr>
        <w:pStyle w:val="NoSpacing"/>
        <w:ind w:left="720"/>
        <w:contextualSpacing/>
        <w:rPr>
          <w:rFonts w:asciiTheme="majorHAnsi" w:hAnsiTheme="majorHAnsi" w:cstheme="majorHAnsi"/>
        </w:rPr>
      </w:pPr>
    </w:p>
    <w:p w14:paraId="2200148F" w14:textId="5D538A9F" w:rsidR="00A50D04" w:rsidRPr="00A50D04" w:rsidRDefault="00A50D04" w:rsidP="009B03E5">
      <w:pPr>
        <w:contextualSpacing/>
        <w:rPr>
          <w:rFonts w:asciiTheme="majorHAnsi" w:hAnsiTheme="majorHAnsi" w:cstheme="majorHAnsi"/>
          <w:sz w:val="22"/>
          <w:szCs w:val="22"/>
        </w:rPr>
      </w:pPr>
      <w:r w:rsidRPr="00A50D04">
        <w:rPr>
          <w:rFonts w:asciiTheme="majorHAnsi" w:hAnsiTheme="majorHAnsi" w:cstheme="majorHAnsi"/>
          <w:sz w:val="22"/>
          <w:szCs w:val="22"/>
        </w:rPr>
        <w:lastRenderedPageBreak/>
        <w:t xml:space="preserve">Mohammed, S. (2013). </w:t>
      </w:r>
      <w:r w:rsidRPr="00A50D04">
        <w:rPr>
          <w:rFonts w:asciiTheme="majorHAnsi" w:hAnsiTheme="majorHAnsi" w:cstheme="majorHAnsi"/>
          <w:i/>
          <w:sz w:val="22"/>
          <w:szCs w:val="22"/>
        </w:rPr>
        <w:t>Evaluation of occupational risk factors for nurses and CNAs: Analysis of Florida workers' compensation claims database</w:t>
      </w:r>
      <w:r w:rsidRPr="00A50D04">
        <w:rPr>
          <w:rFonts w:asciiTheme="majorHAnsi" w:hAnsiTheme="majorHAnsi" w:cstheme="majorHAnsi"/>
          <w:sz w:val="22"/>
          <w:szCs w:val="22"/>
        </w:rPr>
        <w:t>. Graduate Theses and Dissertations.</w:t>
      </w:r>
    </w:p>
    <w:p w14:paraId="782188B7" w14:textId="77777777" w:rsidR="00A50D04" w:rsidRPr="00A50D04" w:rsidRDefault="00A50D04" w:rsidP="009B03E5">
      <w:pPr>
        <w:pStyle w:val="NoSpacing"/>
        <w:ind w:left="720"/>
        <w:contextualSpacing/>
        <w:rPr>
          <w:rFonts w:asciiTheme="majorHAnsi" w:eastAsia="Times New Roman" w:hAnsiTheme="majorHAnsi" w:cstheme="majorHAnsi"/>
        </w:rPr>
      </w:pPr>
    </w:p>
    <w:p w14:paraId="0C28E4A5" w14:textId="77777777" w:rsidR="00A50D04" w:rsidRPr="00A50D04" w:rsidRDefault="00A50D04" w:rsidP="009B03E5">
      <w:pPr>
        <w:rPr>
          <w:rFonts w:asciiTheme="majorHAnsi" w:hAnsiTheme="majorHAnsi" w:cstheme="majorHAnsi"/>
          <w:i/>
          <w:sz w:val="22"/>
          <w:szCs w:val="22"/>
        </w:rPr>
      </w:pPr>
      <w:proofErr w:type="spellStart"/>
      <w:r w:rsidRPr="00A50D04">
        <w:rPr>
          <w:rFonts w:asciiTheme="majorHAnsi" w:hAnsiTheme="majorHAnsi" w:cstheme="majorHAnsi"/>
          <w:sz w:val="22"/>
          <w:szCs w:val="22"/>
        </w:rPr>
        <w:t>Muttarak</w:t>
      </w:r>
      <w:proofErr w:type="spellEnd"/>
      <w:r w:rsidRPr="00A50D04">
        <w:rPr>
          <w:rFonts w:asciiTheme="majorHAnsi" w:hAnsiTheme="majorHAnsi" w:cstheme="majorHAnsi"/>
          <w:sz w:val="22"/>
          <w:szCs w:val="22"/>
        </w:rPr>
        <w:t xml:space="preserve">, R. &amp; Lutz W. (2014). Is education a key to reducing vulnerability to natural disasters and hence unavoidable climate </w:t>
      </w:r>
      <w:proofErr w:type="gramStart"/>
      <w:r w:rsidRPr="00A50D04">
        <w:rPr>
          <w:rFonts w:asciiTheme="majorHAnsi" w:hAnsiTheme="majorHAnsi" w:cstheme="majorHAnsi"/>
          <w:sz w:val="22"/>
          <w:szCs w:val="22"/>
        </w:rPr>
        <w:t>change?.</w:t>
      </w:r>
      <w:proofErr w:type="gramEnd"/>
      <w:r w:rsidRPr="00A50D04">
        <w:rPr>
          <w:rFonts w:asciiTheme="majorHAnsi" w:hAnsiTheme="majorHAnsi" w:cstheme="majorHAnsi"/>
          <w:sz w:val="22"/>
          <w:szCs w:val="22"/>
        </w:rPr>
        <w:t xml:space="preserve"> </w:t>
      </w:r>
      <w:r w:rsidRPr="00A50D04">
        <w:rPr>
          <w:rFonts w:asciiTheme="majorHAnsi" w:hAnsiTheme="majorHAnsi" w:cstheme="majorHAnsi"/>
          <w:i/>
          <w:sz w:val="22"/>
          <w:szCs w:val="22"/>
        </w:rPr>
        <w:t>Education and Differential Vulnerability to Natural Disasters.</w:t>
      </w:r>
      <w:r w:rsidRPr="00A50D04">
        <w:rPr>
          <w:rFonts w:asciiTheme="majorHAnsi" w:hAnsiTheme="majorHAnsi" w:cstheme="majorHAnsi"/>
          <w:sz w:val="22"/>
          <w:szCs w:val="22"/>
        </w:rPr>
        <w:t xml:space="preserve"> http://dx.doi.org/10.5751/ES-06476-190142.</w:t>
      </w:r>
    </w:p>
    <w:p w14:paraId="17D842B2" w14:textId="77777777" w:rsidR="00A50D04" w:rsidRPr="00A50D04" w:rsidRDefault="00A50D04" w:rsidP="009B03E5">
      <w:pPr>
        <w:ind w:left="720"/>
        <w:rPr>
          <w:rFonts w:asciiTheme="majorHAnsi" w:hAnsiTheme="majorHAnsi" w:cstheme="majorHAnsi"/>
          <w:sz w:val="22"/>
          <w:szCs w:val="22"/>
        </w:rPr>
      </w:pPr>
    </w:p>
    <w:p w14:paraId="5E835558" w14:textId="77777777" w:rsidR="00A50D04" w:rsidRPr="00A50D04" w:rsidRDefault="00A50D04" w:rsidP="009B03E5">
      <w:pPr>
        <w:contextualSpacing/>
        <w:rPr>
          <w:rFonts w:asciiTheme="majorHAnsi" w:eastAsiaTheme="minorHAnsi" w:hAnsiTheme="majorHAnsi" w:cstheme="majorHAnsi"/>
          <w:sz w:val="22"/>
          <w:szCs w:val="22"/>
        </w:rPr>
      </w:pPr>
      <w:proofErr w:type="spellStart"/>
      <w:r w:rsidRPr="00A50D04">
        <w:rPr>
          <w:rFonts w:asciiTheme="majorHAnsi" w:hAnsiTheme="majorHAnsi" w:cstheme="majorHAnsi"/>
          <w:sz w:val="22"/>
          <w:szCs w:val="22"/>
        </w:rPr>
        <w:t>Ndejjo</w:t>
      </w:r>
      <w:proofErr w:type="spellEnd"/>
      <w:r w:rsidRPr="00A50D04">
        <w:rPr>
          <w:rFonts w:asciiTheme="majorHAnsi" w:hAnsiTheme="majorHAnsi" w:cstheme="majorHAnsi"/>
          <w:sz w:val="22"/>
          <w:szCs w:val="22"/>
        </w:rPr>
        <w:t xml:space="preserve">, R., </w:t>
      </w:r>
      <w:proofErr w:type="spellStart"/>
      <w:r w:rsidRPr="00A50D04">
        <w:rPr>
          <w:rFonts w:asciiTheme="majorHAnsi" w:hAnsiTheme="majorHAnsi" w:cstheme="majorHAnsi"/>
          <w:sz w:val="22"/>
          <w:szCs w:val="22"/>
        </w:rPr>
        <w:t>Musinguzi</w:t>
      </w:r>
      <w:proofErr w:type="spellEnd"/>
      <w:r w:rsidRPr="00A50D04">
        <w:rPr>
          <w:rFonts w:asciiTheme="majorHAnsi" w:hAnsiTheme="majorHAnsi" w:cstheme="majorHAnsi"/>
          <w:sz w:val="22"/>
          <w:szCs w:val="22"/>
        </w:rPr>
        <w:t xml:space="preserve">, G., </w:t>
      </w:r>
      <w:proofErr w:type="spellStart"/>
      <w:r w:rsidRPr="00A50D04">
        <w:rPr>
          <w:rFonts w:asciiTheme="majorHAnsi" w:hAnsiTheme="majorHAnsi" w:cstheme="majorHAnsi"/>
          <w:sz w:val="22"/>
          <w:szCs w:val="22"/>
        </w:rPr>
        <w:t>Xiaozhong</w:t>
      </w:r>
      <w:proofErr w:type="spellEnd"/>
      <w:r w:rsidRPr="00A50D04">
        <w:rPr>
          <w:rFonts w:asciiTheme="majorHAnsi" w:hAnsiTheme="majorHAnsi" w:cstheme="majorHAnsi"/>
          <w:sz w:val="22"/>
          <w:szCs w:val="22"/>
        </w:rPr>
        <w:t xml:space="preserve">, Y., </w:t>
      </w:r>
      <w:proofErr w:type="spellStart"/>
      <w:r w:rsidRPr="00A50D04">
        <w:rPr>
          <w:rFonts w:asciiTheme="majorHAnsi" w:hAnsiTheme="majorHAnsi" w:cstheme="majorHAnsi"/>
          <w:sz w:val="22"/>
          <w:szCs w:val="22"/>
        </w:rPr>
        <w:t>Buregyeya</w:t>
      </w:r>
      <w:proofErr w:type="spellEnd"/>
      <w:r w:rsidRPr="00A50D04">
        <w:rPr>
          <w:rFonts w:asciiTheme="majorHAnsi" w:hAnsiTheme="majorHAnsi" w:cstheme="majorHAnsi"/>
          <w:sz w:val="22"/>
          <w:szCs w:val="22"/>
        </w:rPr>
        <w:t xml:space="preserve">, E., </w:t>
      </w:r>
      <w:proofErr w:type="spellStart"/>
      <w:r w:rsidRPr="00A50D04">
        <w:rPr>
          <w:rFonts w:asciiTheme="majorHAnsi" w:hAnsiTheme="majorHAnsi" w:cstheme="majorHAnsi"/>
          <w:sz w:val="22"/>
          <w:szCs w:val="22"/>
        </w:rPr>
        <w:t>Musoke</w:t>
      </w:r>
      <w:proofErr w:type="spellEnd"/>
      <w:r w:rsidRPr="00A50D04">
        <w:rPr>
          <w:rFonts w:asciiTheme="majorHAnsi" w:hAnsiTheme="majorHAnsi" w:cstheme="majorHAnsi"/>
          <w:sz w:val="22"/>
          <w:szCs w:val="22"/>
        </w:rPr>
        <w:t xml:space="preserve">, D., Wang, J., </w:t>
      </w:r>
      <w:proofErr w:type="spellStart"/>
      <w:r w:rsidRPr="00A50D04">
        <w:rPr>
          <w:rFonts w:asciiTheme="majorHAnsi" w:hAnsiTheme="majorHAnsi" w:cstheme="majorHAnsi"/>
          <w:sz w:val="22"/>
          <w:szCs w:val="22"/>
        </w:rPr>
        <w:t>Halage</w:t>
      </w:r>
      <w:proofErr w:type="spellEnd"/>
      <w:r w:rsidRPr="00A50D04">
        <w:rPr>
          <w:rFonts w:asciiTheme="majorHAnsi" w:hAnsiTheme="majorHAnsi" w:cstheme="majorHAnsi"/>
          <w:sz w:val="22"/>
          <w:szCs w:val="22"/>
        </w:rPr>
        <w:t xml:space="preserve">, A., Whalen, C., </w:t>
      </w:r>
      <w:proofErr w:type="spellStart"/>
      <w:r w:rsidRPr="00A50D04">
        <w:rPr>
          <w:rFonts w:asciiTheme="majorHAnsi" w:hAnsiTheme="majorHAnsi" w:cstheme="majorHAnsi"/>
          <w:sz w:val="22"/>
          <w:szCs w:val="22"/>
        </w:rPr>
        <w:t>Bazeyo</w:t>
      </w:r>
      <w:proofErr w:type="spellEnd"/>
      <w:r w:rsidRPr="00A50D04">
        <w:rPr>
          <w:rFonts w:asciiTheme="majorHAnsi" w:hAnsiTheme="majorHAnsi" w:cstheme="majorHAnsi"/>
          <w:sz w:val="22"/>
          <w:szCs w:val="22"/>
        </w:rPr>
        <w:t xml:space="preserve">, W., Williams, P. &amp; </w:t>
      </w:r>
      <w:proofErr w:type="spellStart"/>
      <w:r w:rsidRPr="00A50D04">
        <w:rPr>
          <w:rFonts w:asciiTheme="majorHAnsi" w:hAnsiTheme="majorHAnsi" w:cstheme="majorHAnsi"/>
          <w:sz w:val="22"/>
          <w:szCs w:val="22"/>
        </w:rPr>
        <w:t>Ssempebwa</w:t>
      </w:r>
      <w:proofErr w:type="spellEnd"/>
      <w:r w:rsidRPr="00A50D04">
        <w:rPr>
          <w:rFonts w:asciiTheme="majorHAnsi" w:hAnsiTheme="majorHAnsi" w:cstheme="majorHAnsi"/>
          <w:sz w:val="22"/>
          <w:szCs w:val="22"/>
        </w:rPr>
        <w:t xml:space="preserve">, J. (2015). Occupational hazards among healthcare workers in Kampala, Uganda. </w:t>
      </w:r>
      <w:r w:rsidRPr="00A50D04">
        <w:rPr>
          <w:rFonts w:asciiTheme="majorHAnsi" w:hAnsiTheme="majorHAnsi" w:cstheme="majorHAnsi"/>
          <w:i/>
          <w:sz w:val="22"/>
          <w:szCs w:val="22"/>
        </w:rPr>
        <w:t>Journal of Environmental and Public Health.</w:t>
      </w:r>
      <w:r w:rsidRPr="00A50D04">
        <w:rPr>
          <w:rFonts w:asciiTheme="majorHAnsi" w:hAnsiTheme="majorHAnsi" w:cstheme="majorHAnsi"/>
          <w:sz w:val="22"/>
          <w:szCs w:val="22"/>
        </w:rPr>
        <w:t xml:space="preserve"> http://dx.doi.org/10.1155/2015/913741.</w:t>
      </w:r>
    </w:p>
    <w:p w14:paraId="6F6DF106" w14:textId="77777777" w:rsidR="00A50D04" w:rsidRPr="00A50D04" w:rsidRDefault="00A50D04" w:rsidP="009B03E5">
      <w:pPr>
        <w:ind w:left="720"/>
        <w:contextualSpacing/>
        <w:rPr>
          <w:rFonts w:asciiTheme="majorHAnsi" w:hAnsiTheme="majorHAnsi" w:cstheme="majorHAnsi"/>
          <w:sz w:val="22"/>
          <w:szCs w:val="22"/>
        </w:rPr>
      </w:pPr>
    </w:p>
    <w:p w14:paraId="22F0449A" w14:textId="77777777" w:rsidR="009B03E5" w:rsidRPr="00A50D04" w:rsidRDefault="009B03E5" w:rsidP="009B03E5">
      <w:pPr>
        <w:rPr>
          <w:rFonts w:asciiTheme="majorHAnsi" w:hAnsiTheme="majorHAnsi" w:cstheme="majorHAnsi"/>
          <w:sz w:val="22"/>
          <w:szCs w:val="22"/>
        </w:rPr>
      </w:pPr>
      <w:r w:rsidRPr="00A50D04">
        <w:rPr>
          <w:rFonts w:asciiTheme="majorHAnsi" w:hAnsiTheme="majorHAnsi" w:cstheme="majorHAnsi"/>
          <w:sz w:val="22"/>
          <w:szCs w:val="22"/>
        </w:rPr>
        <w:t xml:space="preserve">Northeast Waste Management Officials’ Association NEWMOA (2007). </w:t>
      </w:r>
      <w:r w:rsidRPr="00A50D04">
        <w:rPr>
          <w:rFonts w:asciiTheme="majorHAnsi" w:hAnsiTheme="majorHAnsi" w:cstheme="majorHAnsi"/>
          <w:i/>
          <w:sz w:val="22"/>
          <w:szCs w:val="22"/>
        </w:rPr>
        <w:t>Mercury use in school classrooms: Summary and assessment of non-mercury alternatives</w:t>
      </w:r>
      <w:r w:rsidRPr="00A50D04">
        <w:rPr>
          <w:rFonts w:asciiTheme="majorHAnsi" w:hAnsiTheme="majorHAnsi" w:cstheme="majorHAnsi"/>
          <w:sz w:val="22"/>
          <w:szCs w:val="22"/>
        </w:rPr>
        <w:t>. http://www.newmoa.org/prevention/mercury/schools/MercuryAlternativesReport.pdf.</w:t>
      </w:r>
    </w:p>
    <w:p w14:paraId="7684933F" w14:textId="77777777" w:rsidR="009B03E5" w:rsidRPr="00A50D04" w:rsidRDefault="009B03E5" w:rsidP="009B03E5">
      <w:pPr>
        <w:ind w:left="720"/>
        <w:rPr>
          <w:rFonts w:asciiTheme="majorHAnsi" w:hAnsiTheme="majorHAnsi" w:cstheme="majorHAnsi"/>
          <w:sz w:val="22"/>
          <w:szCs w:val="22"/>
        </w:rPr>
      </w:pPr>
    </w:p>
    <w:p w14:paraId="67C46E23" w14:textId="77777777" w:rsidR="00A50D04" w:rsidRPr="00A50D04" w:rsidRDefault="00A50D04" w:rsidP="009B03E5">
      <w:pPr>
        <w:contextualSpacing/>
        <w:rPr>
          <w:rFonts w:asciiTheme="majorHAnsi" w:hAnsiTheme="majorHAnsi" w:cstheme="majorHAnsi"/>
          <w:sz w:val="22"/>
          <w:szCs w:val="22"/>
        </w:rPr>
      </w:pPr>
      <w:proofErr w:type="spellStart"/>
      <w:r w:rsidRPr="00A50D04">
        <w:rPr>
          <w:rFonts w:asciiTheme="majorHAnsi" w:hAnsiTheme="majorHAnsi" w:cstheme="majorHAnsi"/>
          <w:sz w:val="22"/>
          <w:szCs w:val="22"/>
        </w:rPr>
        <w:t>Pellowe</w:t>
      </w:r>
      <w:proofErr w:type="spellEnd"/>
      <w:r w:rsidRPr="00A50D04">
        <w:rPr>
          <w:rFonts w:asciiTheme="majorHAnsi" w:hAnsiTheme="majorHAnsi" w:cstheme="majorHAnsi"/>
          <w:sz w:val="22"/>
          <w:szCs w:val="22"/>
        </w:rPr>
        <w:t xml:space="preserve">, C. (2007). Standard principles: hospital environmental hygiene and hand hygiene. </w:t>
      </w:r>
      <w:r w:rsidRPr="00A50D04">
        <w:rPr>
          <w:rFonts w:asciiTheme="majorHAnsi" w:hAnsiTheme="majorHAnsi" w:cstheme="majorHAnsi"/>
          <w:i/>
          <w:sz w:val="22"/>
          <w:szCs w:val="22"/>
        </w:rPr>
        <w:t>Nursing Times</w:t>
      </w:r>
      <w:r w:rsidRPr="00A50D04">
        <w:rPr>
          <w:rFonts w:asciiTheme="majorHAnsi" w:hAnsiTheme="majorHAnsi" w:cstheme="majorHAnsi"/>
          <w:sz w:val="22"/>
          <w:szCs w:val="22"/>
        </w:rPr>
        <w:t>. http://www.nursingtimes.net/clinical-subjects/infection-control/standard-principles-hospital-environmental-hygiene-and-hand-hygiene/291499.fullarticle.</w:t>
      </w:r>
    </w:p>
    <w:p w14:paraId="75C21166" w14:textId="77777777" w:rsidR="00A50D04" w:rsidRPr="00A50D04" w:rsidRDefault="00A50D04" w:rsidP="009B03E5">
      <w:pPr>
        <w:pStyle w:val="NoSpacing"/>
        <w:ind w:left="720"/>
        <w:contextualSpacing/>
        <w:rPr>
          <w:rFonts w:asciiTheme="majorHAnsi" w:hAnsiTheme="majorHAnsi" w:cstheme="majorHAnsi"/>
          <w:b/>
        </w:rPr>
      </w:pPr>
    </w:p>
    <w:p w14:paraId="77CEDA50" w14:textId="77777777" w:rsidR="009B03E5" w:rsidRPr="00A50D04" w:rsidRDefault="009B03E5" w:rsidP="009B03E5">
      <w:pPr>
        <w:pStyle w:val="NoSpacing"/>
        <w:contextualSpacing/>
        <w:rPr>
          <w:rFonts w:asciiTheme="majorHAnsi" w:eastAsia="Times New Roman" w:hAnsiTheme="majorHAnsi" w:cstheme="majorHAnsi"/>
        </w:rPr>
      </w:pPr>
      <w:r w:rsidRPr="00A50D04">
        <w:rPr>
          <w:rFonts w:asciiTheme="majorHAnsi" w:eastAsia="Times New Roman" w:hAnsiTheme="majorHAnsi" w:cstheme="majorHAnsi"/>
        </w:rPr>
        <w:t>Republic Act No. 386, Civil Code of the Philippines (1980).</w:t>
      </w:r>
    </w:p>
    <w:p w14:paraId="559A1FE7" w14:textId="77777777" w:rsidR="009B03E5" w:rsidRPr="00A50D04" w:rsidRDefault="009B03E5" w:rsidP="009B03E5">
      <w:pPr>
        <w:pStyle w:val="NoSpacing"/>
        <w:ind w:left="720"/>
        <w:contextualSpacing/>
        <w:rPr>
          <w:rFonts w:asciiTheme="majorHAnsi" w:eastAsia="Times New Roman" w:hAnsiTheme="majorHAnsi" w:cstheme="majorHAnsi"/>
        </w:rPr>
      </w:pPr>
    </w:p>
    <w:p w14:paraId="14C6D00A" w14:textId="77777777" w:rsidR="009B03E5" w:rsidRPr="00A50D04" w:rsidRDefault="009B03E5" w:rsidP="009B03E5">
      <w:pPr>
        <w:pStyle w:val="NoSpacing"/>
        <w:contextualSpacing/>
        <w:rPr>
          <w:rFonts w:asciiTheme="majorHAnsi" w:hAnsiTheme="majorHAnsi" w:cstheme="majorHAnsi"/>
        </w:rPr>
      </w:pPr>
      <w:r w:rsidRPr="00A50D04">
        <w:rPr>
          <w:rFonts w:asciiTheme="majorHAnsi" w:eastAsia="Times New Roman" w:hAnsiTheme="majorHAnsi" w:cstheme="majorHAnsi"/>
        </w:rPr>
        <w:t>Republic Act</w:t>
      </w:r>
      <w:r w:rsidRPr="00A50D04">
        <w:rPr>
          <w:rFonts w:asciiTheme="majorHAnsi" w:hAnsiTheme="majorHAnsi" w:cstheme="majorHAnsi"/>
        </w:rPr>
        <w:t xml:space="preserve"> No. 4670, </w:t>
      </w:r>
      <w:r w:rsidRPr="00A50D04">
        <w:rPr>
          <w:rFonts w:asciiTheme="majorHAnsi" w:hAnsiTheme="majorHAnsi" w:cstheme="majorHAnsi"/>
          <w:i/>
        </w:rPr>
        <w:t>The Magna Carta for Public School Teachers (</w:t>
      </w:r>
      <w:r w:rsidRPr="00A50D04">
        <w:rPr>
          <w:rFonts w:asciiTheme="majorHAnsi" w:hAnsiTheme="majorHAnsi" w:cstheme="majorHAnsi"/>
        </w:rPr>
        <w:t>1966).</w:t>
      </w:r>
    </w:p>
    <w:p w14:paraId="2A27D16C" w14:textId="77777777" w:rsidR="009B03E5" w:rsidRPr="00A50D04" w:rsidRDefault="009B03E5" w:rsidP="009B03E5">
      <w:pPr>
        <w:pStyle w:val="NoSpacing"/>
        <w:ind w:left="720"/>
        <w:contextualSpacing/>
        <w:rPr>
          <w:rFonts w:asciiTheme="majorHAnsi" w:hAnsiTheme="majorHAnsi" w:cstheme="majorHAnsi"/>
        </w:rPr>
      </w:pPr>
    </w:p>
    <w:p w14:paraId="5499E224" w14:textId="77777777" w:rsidR="009B03E5" w:rsidRPr="00A50D04" w:rsidRDefault="009B03E5" w:rsidP="009B03E5">
      <w:pPr>
        <w:pStyle w:val="NoSpacing"/>
        <w:contextualSpacing/>
        <w:rPr>
          <w:rFonts w:asciiTheme="majorHAnsi" w:hAnsiTheme="majorHAnsi" w:cstheme="majorHAnsi"/>
        </w:rPr>
      </w:pPr>
      <w:r w:rsidRPr="00A50D04">
        <w:rPr>
          <w:rFonts w:asciiTheme="majorHAnsi" w:hAnsiTheme="majorHAnsi" w:cstheme="majorHAnsi"/>
        </w:rPr>
        <w:t xml:space="preserve">Republic Act No. 7305, </w:t>
      </w:r>
      <w:r w:rsidRPr="00A50D04">
        <w:rPr>
          <w:rFonts w:asciiTheme="majorHAnsi" w:hAnsiTheme="majorHAnsi" w:cstheme="majorHAnsi"/>
          <w:i/>
        </w:rPr>
        <w:t>The Magna Carta of Public Health Workers</w:t>
      </w:r>
      <w:r w:rsidRPr="00A50D04">
        <w:rPr>
          <w:rFonts w:asciiTheme="majorHAnsi" w:hAnsiTheme="majorHAnsi" w:cstheme="majorHAnsi"/>
        </w:rPr>
        <w:t xml:space="preserve"> (1993).</w:t>
      </w:r>
    </w:p>
    <w:p w14:paraId="2E856AFA" w14:textId="77777777" w:rsidR="009B03E5" w:rsidRPr="00A50D04" w:rsidRDefault="009B03E5" w:rsidP="009B03E5">
      <w:pPr>
        <w:pStyle w:val="NoSpacing"/>
        <w:ind w:left="720"/>
        <w:contextualSpacing/>
        <w:rPr>
          <w:rFonts w:asciiTheme="majorHAnsi" w:hAnsiTheme="majorHAnsi" w:cstheme="majorHAnsi"/>
        </w:rPr>
      </w:pPr>
    </w:p>
    <w:p w14:paraId="4F65C1E0" w14:textId="77777777" w:rsidR="009B03E5" w:rsidRPr="00A50D04" w:rsidRDefault="009B03E5" w:rsidP="009B03E5">
      <w:pPr>
        <w:pStyle w:val="NoSpacing"/>
        <w:contextualSpacing/>
        <w:rPr>
          <w:rFonts w:asciiTheme="majorHAnsi" w:hAnsiTheme="majorHAnsi" w:cstheme="majorHAnsi"/>
        </w:rPr>
      </w:pPr>
      <w:r w:rsidRPr="00A50D04">
        <w:rPr>
          <w:rFonts w:asciiTheme="majorHAnsi" w:hAnsiTheme="majorHAnsi" w:cstheme="majorHAnsi"/>
        </w:rPr>
        <w:t xml:space="preserve">Republic Act No. 9173, </w:t>
      </w:r>
      <w:r w:rsidRPr="00A50D04">
        <w:rPr>
          <w:rFonts w:asciiTheme="majorHAnsi" w:hAnsiTheme="majorHAnsi" w:cstheme="majorHAnsi"/>
          <w:i/>
        </w:rPr>
        <w:t>Philippine Nursing Act of 2002</w:t>
      </w:r>
      <w:r w:rsidRPr="00A50D04">
        <w:rPr>
          <w:rFonts w:asciiTheme="majorHAnsi" w:hAnsiTheme="majorHAnsi" w:cstheme="majorHAnsi"/>
        </w:rPr>
        <w:t xml:space="preserve"> (2002).</w:t>
      </w:r>
    </w:p>
    <w:p w14:paraId="0DCB8C0A" w14:textId="77777777" w:rsidR="009B03E5" w:rsidRPr="00A50D04" w:rsidRDefault="009B03E5" w:rsidP="009B03E5">
      <w:pPr>
        <w:pStyle w:val="NoSpacing"/>
        <w:ind w:left="720"/>
        <w:contextualSpacing/>
        <w:rPr>
          <w:rFonts w:asciiTheme="majorHAnsi" w:hAnsiTheme="majorHAnsi" w:cstheme="majorHAnsi"/>
        </w:rPr>
      </w:pPr>
    </w:p>
    <w:p w14:paraId="32CD0B64" w14:textId="77777777" w:rsidR="00A50D04" w:rsidRPr="00A50D04" w:rsidRDefault="00A50D04" w:rsidP="009B03E5">
      <w:pPr>
        <w:pStyle w:val="NoSpacing"/>
        <w:contextualSpacing/>
        <w:rPr>
          <w:rFonts w:asciiTheme="majorHAnsi" w:hAnsiTheme="majorHAnsi" w:cstheme="majorHAnsi"/>
        </w:rPr>
      </w:pPr>
      <w:proofErr w:type="spellStart"/>
      <w:r w:rsidRPr="00A50D04">
        <w:rPr>
          <w:rFonts w:asciiTheme="majorHAnsi" w:hAnsiTheme="majorHAnsi" w:cstheme="majorHAnsi"/>
        </w:rPr>
        <w:t>Rhule</w:t>
      </w:r>
      <w:proofErr w:type="spellEnd"/>
      <w:r w:rsidRPr="00A50D04">
        <w:rPr>
          <w:rFonts w:asciiTheme="majorHAnsi" w:hAnsiTheme="majorHAnsi" w:cstheme="majorHAnsi"/>
        </w:rPr>
        <w:t xml:space="preserve">, H. A. (2012). </w:t>
      </w:r>
      <w:r w:rsidRPr="00A50D04">
        <w:rPr>
          <w:rFonts w:asciiTheme="majorHAnsi" w:hAnsiTheme="majorHAnsi" w:cstheme="majorHAnsi"/>
          <w:i/>
        </w:rPr>
        <w:t xml:space="preserve">Health related risks of nursing practice at </w:t>
      </w:r>
      <w:proofErr w:type="spellStart"/>
      <w:r w:rsidRPr="00A50D04">
        <w:rPr>
          <w:rFonts w:asciiTheme="majorHAnsi" w:hAnsiTheme="majorHAnsi" w:cstheme="majorHAnsi"/>
          <w:i/>
        </w:rPr>
        <w:t>Effia</w:t>
      </w:r>
      <w:proofErr w:type="spellEnd"/>
      <w:r w:rsidRPr="00A50D04">
        <w:rPr>
          <w:rFonts w:asciiTheme="majorHAnsi" w:hAnsiTheme="majorHAnsi" w:cstheme="majorHAnsi"/>
          <w:i/>
        </w:rPr>
        <w:t xml:space="preserve">-Nkwanta Regional Hospital, </w:t>
      </w:r>
      <w:proofErr w:type="spellStart"/>
      <w:r w:rsidRPr="00A50D04">
        <w:rPr>
          <w:rFonts w:asciiTheme="majorHAnsi" w:hAnsiTheme="majorHAnsi" w:cstheme="majorHAnsi"/>
          <w:i/>
        </w:rPr>
        <w:t>Sekondi</w:t>
      </w:r>
      <w:proofErr w:type="spellEnd"/>
      <w:r w:rsidRPr="00A50D04">
        <w:rPr>
          <w:rFonts w:asciiTheme="majorHAnsi" w:hAnsiTheme="majorHAnsi" w:cstheme="majorHAnsi"/>
        </w:rPr>
        <w:t>. Kwame Nkrumah University of Science and Technology. (Thesis).</w:t>
      </w:r>
    </w:p>
    <w:p w14:paraId="4D5B1D5B" w14:textId="77777777" w:rsidR="00A50D04" w:rsidRPr="00A50D04" w:rsidRDefault="00A50D04" w:rsidP="009B03E5">
      <w:pPr>
        <w:pStyle w:val="NoSpacing"/>
        <w:contextualSpacing/>
        <w:rPr>
          <w:rFonts w:asciiTheme="majorHAnsi" w:hAnsiTheme="majorHAnsi" w:cstheme="majorHAnsi"/>
        </w:rPr>
      </w:pPr>
    </w:p>
    <w:p w14:paraId="31226A58" w14:textId="77777777" w:rsidR="00A50D04" w:rsidRPr="00A50D04" w:rsidRDefault="00A50D04" w:rsidP="009B03E5">
      <w:pPr>
        <w:contextualSpacing/>
        <w:rPr>
          <w:rFonts w:asciiTheme="majorHAnsi" w:hAnsiTheme="majorHAnsi" w:cstheme="majorHAnsi"/>
          <w:sz w:val="22"/>
          <w:szCs w:val="22"/>
        </w:rPr>
      </w:pPr>
      <w:r w:rsidRPr="00A50D04">
        <w:rPr>
          <w:rFonts w:asciiTheme="majorHAnsi" w:hAnsiTheme="majorHAnsi" w:cstheme="majorHAnsi"/>
          <w:sz w:val="22"/>
          <w:szCs w:val="22"/>
        </w:rPr>
        <w:t xml:space="preserve">Serna, J., Perez, E., </w:t>
      </w:r>
      <w:proofErr w:type="spellStart"/>
      <w:r w:rsidRPr="00A50D04">
        <w:rPr>
          <w:rFonts w:asciiTheme="majorHAnsi" w:hAnsiTheme="majorHAnsi" w:cstheme="majorHAnsi"/>
          <w:sz w:val="22"/>
          <w:szCs w:val="22"/>
        </w:rPr>
        <w:t>Artazco</w:t>
      </w:r>
      <w:proofErr w:type="spellEnd"/>
      <w:r w:rsidRPr="00A50D04">
        <w:rPr>
          <w:rFonts w:asciiTheme="majorHAnsi" w:hAnsiTheme="majorHAnsi" w:cstheme="majorHAnsi"/>
          <w:sz w:val="22"/>
          <w:szCs w:val="22"/>
        </w:rPr>
        <w:t xml:space="preserve">, L., Moen, B. &amp; Benavides, F. (2013). Gender inequalities in occupational health related to the unequal distribution of working and employment conditions: a systematic review. </w:t>
      </w:r>
      <w:r w:rsidRPr="00A50D04">
        <w:rPr>
          <w:rFonts w:asciiTheme="majorHAnsi" w:hAnsiTheme="majorHAnsi" w:cstheme="majorHAnsi"/>
          <w:i/>
          <w:sz w:val="22"/>
          <w:szCs w:val="22"/>
        </w:rPr>
        <w:t>International Journal for Equity in Research.</w:t>
      </w:r>
      <w:r w:rsidRPr="00A50D04">
        <w:rPr>
          <w:rFonts w:asciiTheme="majorHAnsi" w:hAnsiTheme="majorHAnsi" w:cstheme="majorHAnsi"/>
          <w:sz w:val="22"/>
          <w:szCs w:val="22"/>
        </w:rPr>
        <w:t xml:space="preserve"> 12(57). http://doi.org/10.1186/1475-9276-12-57.</w:t>
      </w:r>
    </w:p>
    <w:p w14:paraId="10568837" w14:textId="77777777" w:rsidR="00A50D04" w:rsidRPr="00A50D04" w:rsidRDefault="00A50D04" w:rsidP="009B03E5">
      <w:pPr>
        <w:ind w:left="720"/>
        <w:contextualSpacing/>
        <w:rPr>
          <w:rFonts w:asciiTheme="majorHAnsi" w:hAnsiTheme="majorHAnsi" w:cstheme="majorHAnsi"/>
          <w:sz w:val="22"/>
          <w:szCs w:val="22"/>
        </w:rPr>
      </w:pPr>
    </w:p>
    <w:p w14:paraId="62B45C14" w14:textId="77777777" w:rsidR="00A50D04" w:rsidRPr="00A50D04" w:rsidRDefault="00A50D04" w:rsidP="009B03E5">
      <w:pPr>
        <w:contextualSpacing/>
        <w:rPr>
          <w:rFonts w:asciiTheme="majorHAnsi" w:hAnsiTheme="majorHAnsi" w:cstheme="majorHAnsi"/>
          <w:sz w:val="22"/>
          <w:szCs w:val="22"/>
        </w:rPr>
      </w:pPr>
      <w:r w:rsidRPr="00A50D04">
        <w:rPr>
          <w:rFonts w:asciiTheme="majorHAnsi" w:hAnsiTheme="majorHAnsi" w:cstheme="majorHAnsi"/>
          <w:sz w:val="22"/>
          <w:szCs w:val="22"/>
        </w:rPr>
        <w:t xml:space="preserve">Smith, D.&amp; Leggat, P. (2005). Needle stick and sharps injuries among nursing students. </w:t>
      </w:r>
      <w:r w:rsidRPr="00A50D04">
        <w:rPr>
          <w:rFonts w:asciiTheme="majorHAnsi" w:hAnsiTheme="majorHAnsi" w:cstheme="majorHAnsi"/>
          <w:i/>
          <w:sz w:val="22"/>
          <w:szCs w:val="22"/>
        </w:rPr>
        <w:t>Journal of Advance Nursing</w:t>
      </w:r>
      <w:r w:rsidRPr="00A50D04">
        <w:rPr>
          <w:rFonts w:asciiTheme="majorHAnsi" w:hAnsiTheme="majorHAnsi" w:cstheme="majorHAnsi"/>
          <w:sz w:val="22"/>
          <w:szCs w:val="22"/>
        </w:rPr>
        <w:t>. 51(5): 449-55.</w:t>
      </w:r>
    </w:p>
    <w:p w14:paraId="3C3D4AA6" w14:textId="77777777" w:rsidR="00A50D04" w:rsidRPr="00A50D04" w:rsidRDefault="00A50D04" w:rsidP="009B03E5">
      <w:pPr>
        <w:pStyle w:val="NoSpacing"/>
        <w:ind w:left="720"/>
        <w:contextualSpacing/>
        <w:rPr>
          <w:rFonts w:asciiTheme="majorHAnsi" w:hAnsiTheme="majorHAnsi" w:cstheme="majorHAnsi"/>
          <w:b/>
        </w:rPr>
      </w:pPr>
    </w:p>
    <w:p w14:paraId="1063C16F" w14:textId="77777777" w:rsidR="009B03E5" w:rsidRPr="00A50D04" w:rsidRDefault="009B03E5" w:rsidP="009B03E5">
      <w:pPr>
        <w:pStyle w:val="NoSpacing"/>
        <w:contextualSpacing/>
        <w:rPr>
          <w:rFonts w:asciiTheme="majorHAnsi" w:hAnsiTheme="majorHAnsi" w:cstheme="majorHAnsi"/>
        </w:rPr>
      </w:pPr>
      <w:proofErr w:type="spellStart"/>
      <w:r w:rsidRPr="00A50D04">
        <w:rPr>
          <w:rFonts w:asciiTheme="majorHAnsi" w:hAnsiTheme="majorHAnsi" w:cstheme="majorHAnsi"/>
        </w:rPr>
        <w:t>Toelke</w:t>
      </w:r>
      <w:proofErr w:type="spellEnd"/>
      <w:r w:rsidRPr="00A50D04">
        <w:rPr>
          <w:rFonts w:asciiTheme="majorHAnsi" w:hAnsiTheme="majorHAnsi" w:cstheme="majorHAnsi"/>
        </w:rPr>
        <w:t xml:space="preserve">, L.D. (2012). </w:t>
      </w:r>
      <w:r w:rsidRPr="00A50D04">
        <w:rPr>
          <w:rFonts w:asciiTheme="majorHAnsi" w:hAnsiTheme="majorHAnsi" w:cstheme="majorHAnsi"/>
          <w:i/>
        </w:rPr>
        <w:t>The Clinical Nurse Instructor: Best Practices in Orienting Newly Hired Clinical Faculty.</w:t>
      </w:r>
      <w:r w:rsidRPr="00A50D04">
        <w:rPr>
          <w:rFonts w:asciiTheme="majorHAnsi" w:hAnsiTheme="majorHAnsi" w:cstheme="majorHAnsi"/>
        </w:rPr>
        <w:t xml:space="preserve"> Washington State University. </w:t>
      </w:r>
    </w:p>
    <w:p w14:paraId="5E0075A5" w14:textId="77777777" w:rsidR="009B03E5" w:rsidRPr="00A50D04" w:rsidRDefault="009B03E5" w:rsidP="009B03E5">
      <w:pPr>
        <w:pStyle w:val="NoSpacing"/>
        <w:ind w:left="720"/>
        <w:contextualSpacing/>
        <w:rPr>
          <w:rFonts w:asciiTheme="majorHAnsi" w:hAnsiTheme="majorHAnsi" w:cstheme="majorHAnsi"/>
        </w:rPr>
      </w:pPr>
    </w:p>
    <w:p w14:paraId="52AE2F3B" w14:textId="77777777" w:rsidR="009B03E5" w:rsidRPr="00A50D04" w:rsidRDefault="009B03E5" w:rsidP="009B03E5">
      <w:pPr>
        <w:pStyle w:val="NoSpacing"/>
        <w:contextualSpacing/>
        <w:rPr>
          <w:rFonts w:asciiTheme="majorHAnsi" w:hAnsiTheme="majorHAnsi" w:cstheme="majorHAnsi"/>
        </w:rPr>
      </w:pPr>
      <w:proofErr w:type="spellStart"/>
      <w:r w:rsidRPr="00A50D04">
        <w:rPr>
          <w:rFonts w:asciiTheme="majorHAnsi" w:hAnsiTheme="majorHAnsi" w:cstheme="majorHAnsi"/>
        </w:rPr>
        <w:t>Trinkoff</w:t>
      </w:r>
      <w:proofErr w:type="spellEnd"/>
      <w:r w:rsidRPr="00A50D04">
        <w:rPr>
          <w:rFonts w:asciiTheme="majorHAnsi" w:hAnsiTheme="majorHAnsi" w:cstheme="majorHAnsi"/>
        </w:rPr>
        <w:t xml:space="preserve">, A., Brown, J., Caruso, C., Lipscomb, J., </w:t>
      </w:r>
      <w:proofErr w:type="spellStart"/>
      <w:r w:rsidRPr="00A50D04">
        <w:rPr>
          <w:rFonts w:asciiTheme="majorHAnsi" w:hAnsiTheme="majorHAnsi" w:cstheme="majorHAnsi"/>
        </w:rPr>
        <w:t>Johantgen</w:t>
      </w:r>
      <w:proofErr w:type="spellEnd"/>
      <w:r w:rsidRPr="00A50D04">
        <w:rPr>
          <w:rFonts w:asciiTheme="majorHAnsi" w:hAnsiTheme="majorHAnsi" w:cstheme="majorHAnsi"/>
        </w:rPr>
        <w:t xml:space="preserve">, M., Nelson, A. Sattler, B. &amp; Selby, V. (2008). </w:t>
      </w:r>
      <w:r w:rsidRPr="00A50D04">
        <w:rPr>
          <w:rFonts w:asciiTheme="majorHAnsi" w:hAnsiTheme="majorHAnsi" w:cstheme="majorHAnsi"/>
          <w:i/>
        </w:rPr>
        <w:t>Personal Safety for Nurses</w:t>
      </w:r>
      <w:r w:rsidRPr="00A50D04">
        <w:rPr>
          <w:rFonts w:asciiTheme="majorHAnsi" w:hAnsiTheme="majorHAnsi" w:cstheme="majorHAnsi"/>
        </w:rPr>
        <w:t>. Patient Safety and Quality: An Evidence-Based Handbook for Nurses. http://www.ncbi.nlm.nih.gov/books/NBK2661/.</w:t>
      </w:r>
    </w:p>
    <w:p w14:paraId="3E2A894F" w14:textId="6903D0FF" w:rsidR="009B03E5" w:rsidRDefault="009B03E5" w:rsidP="009B03E5">
      <w:pPr>
        <w:contextualSpacing/>
        <w:rPr>
          <w:rFonts w:asciiTheme="majorHAnsi" w:hAnsiTheme="majorHAnsi" w:cstheme="majorHAnsi"/>
          <w:sz w:val="22"/>
          <w:szCs w:val="22"/>
        </w:rPr>
      </w:pPr>
    </w:p>
    <w:p w14:paraId="08D05502" w14:textId="77777777" w:rsidR="009B03E5" w:rsidRPr="00A50D04" w:rsidRDefault="009B03E5" w:rsidP="009B03E5">
      <w:pPr>
        <w:pStyle w:val="NoSpacing"/>
        <w:contextualSpacing/>
        <w:rPr>
          <w:rFonts w:asciiTheme="majorHAnsi" w:hAnsiTheme="majorHAnsi" w:cstheme="majorHAnsi"/>
        </w:rPr>
      </w:pPr>
      <w:proofErr w:type="spellStart"/>
      <w:r w:rsidRPr="00A50D04">
        <w:rPr>
          <w:rFonts w:asciiTheme="majorHAnsi" w:hAnsiTheme="majorHAnsi" w:cstheme="majorHAnsi"/>
        </w:rPr>
        <w:t>Vaglas</w:t>
      </w:r>
      <w:proofErr w:type="spellEnd"/>
      <w:r w:rsidRPr="00A50D04">
        <w:rPr>
          <w:rFonts w:asciiTheme="majorHAnsi" w:hAnsiTheme="majorHAnsi" w:cstheme="majorHAnsi"/>
        </w:rPr>
        <w:t xml:space="preserve">, W.M. (2006). </w:t>
      </w:r>
      <w:r w:rsidRPr="00A50D04">
        <w:rPr>
          <w:rFonts w:asciiTheme="majorHAnsi" w:hAnsiTheme="majorHAnsi" w:cstheme="majorHAnsi"/>
          <w:i/>
        </w:rPr>
        <w:t>Likert-type scale response anchors</w:t>
      </w:r>
      <w:r w:rsidRPr="00A50D04">
        <w:rPr>
          <w:rFonts w:asciiTheme="majorHAnsi" w:hAnsiTheme="majorHAnsi" w:cstheme="majorHAnsi"/>
        </w:rPr>
        <w:t xml:space="preserve">. Clemson International Institute for </w:t>
      </w:r>
      <w:proofErr w:type="spellStart"/>
      <w:r w:rsidRPr="00A50D04">
        <w:rPr>
          <w:rFonts w:asciiTheme="majorHAnsi" w:hAnsiTheme="majorHAnsi" w:cstheme="majorHAnsi"/>
        </w:rPr>
        <w:t>Toursim</w:t>
      </w:r>
      <w:proofErr w:type="spellEnd"/>
      <w:r w:rsidRPr="00A50D04">
        <w:rPr>
          <w:rFonts w:asciiTheme="majorHAnsi" w:hAnsiTheme="majorHAnsi" w:cstheme="majorHAnsi"/>
        </w:rPr>
        <w:t xml:space="preserve"> &amp; Research Development, Department of Parks, Recreation and Tourism Management. Clemson University.</w:t>
      </w:r>
    </w:p>
    <w:p w14:paraId="3B59EB65" w14:textId="77777777" w:rsidR="009B03E5" w:rsidRPr="00A50D04" w:rsidRDefault="009B03E5" w:rsidP="009B03E5">
      <w:pPr>
        <w:ind w:left="720"/>
        <w:contextualSpacing/>
        <w:rPr>
          <w:rFonts w:asciiTheme="majorHAnsi" w:hAnsiTheme="majorHAnsi" w:cstheme="majorHAnsi"/>
          <w:sz w:val="22"/>
          <w:szCs w:val="22"/>
        </w:rPr>
      </w:pPr>
    </w:p>
    <w:p w14:paraId="03A847FA" w14:textId="77777777" w:rsidR="009B03E5" w:rsidRPr="00A50D04" w:rsidRDefault="009B03E5" w:rsidP="009B03E5">
      <w:pPr>
        <w:contextualSpacing/>
        <w:rPr>
          <w:rFonts w:asciiTheme="majorHAnsi" w:hAnsiTheme="majorHAnsi" w:cstheme="majorHAnsi"/>
          <w:i/>
          <w:sz w:val="22"/>
          <w:szCs w:val="22"/>
        </w:rPr>
      </w:pPr>
      <w:r w:rsidRPr="00A50D04">
        <w:rPr>
          <w:rFonts w:asciiTheme="majorHAnsi" w:hAnsiTheme="majorHAnsi" w:cstheme="majorHAnsi"/>
          <w:sz w:val="22"/>
          <w:szCs w:val="22"/>
        </w:rPr>
        <w:t xml:space="preserve">Wilding, B., Curtis, K. &amp; Hood, K. (2009). </w:t>
      </w:r>
      <w:r w:rsidRPr="00A50D04">
        <w:rPr>
          <w:rFonts w:asciiTheme="majorHAnsi" w:hAnsiTheme="majorHAnsi" w:cstheme="majorHAnsi"/>
          <w:i/>
          <w:sz w:val="22"/>
          <w:szCs w:val="22"/>
        </w:rPr>
        <w:t>Hazardous chemicals in health care: A snapshot of chemicals in doctors and nurses</w:t>
      </w:r>
      <w:r w:rsidRPr="00A50D04">
        <w:rPr>
          <w:rFonts w:asciiTheme="majorHAnsi" w:hAnsiTheme="majorHAnsi" w:cstheme="majorHAnsi"/>
          <w:sz w:val="22"/>
          <w:szCs w:val="22"/>
        </w:rPr>
        <w:t xml:space="preserve">. </w:t>
      </w:r>
      <w:r w:rsidRPr="00A50D04">
        <w:rPr>
          <w:rStyle w:val="HTMLCite"/>
          <w:rFonts w:asciiTheme="majorHAnsi" w:hAnsiTheme="majorHAnsi" w:cstheme="majorHAnsi"/>
          <w:sz w:val="22"/>
          <w:szCs w:val="22"/>
        </w:rPr>
        <w:t>www.psr.org/assets/pdfs/</w:t>
      </w:r>
      <w:r w:rsidRPr="00A50D04">
        <w:rPr>
          <w:rStyle w:val="HTMLCite"/>
          <w:rFonts w:asciiTheme="majorHAnsi" w:hAnsiTheme="majorHAnsi" w:cstheme="majorHAnsi"/>
          <w:bCs/>
          <w:sz w:val="22"/>
          <w:szCs w:val="22"/>
        </w:rPr>
        <w:t>hazardous</w:t>
      </w:r>
      <w:r w:rsidRPr="00A50D04">
        <w:rPr>
          <w:rStyle w:val="HTMLCite"/>
          <w:rFonts w:asciiTheme="majorHAnsi" w:hAnsiTheme="majorHAnsi" w:cstheme="majorHAnsi"/>
          <w:sz w:val="22"/>
          <w:szCs w:val="22"/>
        </w:rPr>
        <w:t>-</w:t>
      </w:r>
      <w:r w:rsidRPr="00A50D04">
        <w:rPr>
          <w:rStyle w:val="HTMLCite"/>
          <w:rFonts w:asciiTheme="majorHAnsi" w:hAnsiTheme="majorHAnsi" w:cstheme="majorHAnsi"/>
          <w:bCs/>
          <w:sz w:val="22"/>
          <w:szCs w:val="22"/>
        </w:rPr>
        <w:t>chemicals-in-health</w:t>
      </w:r>
      <w:r w:rsidRPr="00A50D04">
        <w:rPr>
          <w:rStyle w:val="HTMLCite"/>
          <w:rFonts w:asciiTheme="majorHAnsi" w:hAnsiTheme="majorHAnsi" w:cstheme="majorHAnsi"/>
          <w:sz w:val="22"/>
          <w:szCs w:val="22"/>
        </w:rPr>
        <w:t>-</w:t>
      </w:r>
      <w:r w:rsidRPr="00A50D04">
        <w:rPr>
          <w:rStyle w:val="HTMLCite"/>
          <w:rFonts w:asciiTheme="majorHAnsi" w:hAnsiTheme="majorHAnsi" w:cstheme="majorHAnsi"/>
          <w:bCs/>
          <w:sz w:val="22"/>
          <w:szCs w:val="22"/>
        </w:rPr>
        <w:t>care</w:t>
      </w:r>
      <w:r w:rsidRPr="00A50D04">
        <w:rPr>
          <w:rStyle w:val="HTMLCite"/>
          <w:rFonts w:asciiTheme="majorHAnsi" w:hAnsiTheme="majorHAnsi" w:cstheme="majorHAnsi"/>
          <w:sz w:val="22"/>
          <w:szCs w:val="22"/>
        </w:rPr>
        <w:t>.pdf</w:t>
      </w:r>
    </w:p>
    <w:p w14:paraId="69DE03D4" w14:textId="77777777" w:rsidR="009B03E5" w:rsidRPr="00A50D04" w:rsidRDefault="009B03E5" w:rsidP="009B03E5">
      <w:pPr>
        <w:ind w:left="720"/>
        <w:contextualSpacing/>
        <w:rPr>
          <w:rFonts w:asciiTheme="majorHAnsi" w:hAnsiTheme="majorHAnsi" w:cstheme="majorHAnsi"/>
          <w:sz w:val="22"/>
          <w:szCs w:val="22"/>
        </w:rPr>
      </w:pPr>
    </w:p>
    <w:p w14:paraId="1665A4EA" w14:textId="7F56C0AC" w:rsidR="00A50D04" w:rsidRPr="00A50D04" w:rsidRDefault="00A50D04" w:rsidP="009B03E5">
      <w:pPr>
        <w:contextualSpacing/>
        <w:rPr>
          <w:rFonts w:asciiTheme="majorHAnsi" w:hAnsiTheme="majorHAnsi" w:cstheme="majorHAnsi"/>
          <w:sz w:val="22"/>
          <w:szCs w:val="22"/>
        </w:rPr>
      </w:pPr>
      <w:r w:rsidRPr="00A50D04">
        <w:rPr>
          <w:rFonts w:asciiTheme="majorHAnsi" w:hAnsiTheme="majorHAnsi" w:cstheme="majorHAnsi"/>
          <w:sz w:val="22"/>
          <w:szCs w:val="22"/>
        </w:rPr>
        <w:t xml:space="preserve">Wu, S., Zhu, W., Wang, Z., Wang, M. and Lan, Y. (2007), Relationship between burnout and occupational stress among nurses in China. </w:t>
      </w:r>
      <w:r w:rsidRPr="00A50D04">
        <w:rPr>
          <w:rFonts w:asciiTheme="majorHAnsi" w:hAnsiTheme="majorHAnsi" w:cstheme="majorHAnsi"/>
          <w:i/>
          <w:sz w:val="22"/>
          <w:szCs w:val="22"/>
        </w:rPr>
        <w:t>Journal of Advanced Nursing</w:t>
      </w:r>
      <w:r w:rsidRPr="00A50D04">
        <w:rPr>
          <w:rFonts w:asciiTheme="majorHAnsi" w:hAnsiTheme="majorHAnsi" w:cstheme="majorHAnsi"/>
          <w:sz w:val="22"/>
          <w:szCs w:val="22"/>
        </w:rPr>
        <w:t xml:space="preserve">, 59: 233–239. </w:t>
      </w:r>
      <w:proofErr w:type="spellStart"/>
      <w:r w:rsidRPr="00A50D04">
        <w:rPr>
          <w:rFonts w:asciiTheme="majorHAnsi" w:hAnsiTheme="majorHAnsi" w:cstheme="majorHAnsi"/>
          <w:sz w:val="22"/>
          <w:szCs w:val="22"/>
        </w:rPr>
        <w:t>doi</w:t>
      </w:r>
      <w:proofErr w:type="spellEnd"/>
      <w:r w:rsidRPr="00A50D04">
        <w:rPr>
          <w:rFonts w:asciiTheme="majorHAnsi" w:hAnsiTheme="majorHAnsi" w:cstheme="majorHAnsi"/>
          <w:sz w:val="22"/>
          <w:szCs w:val="22"/>
        </w:rPr>
        <w:t>: 10.1111/j.1365-2648.</w:t>
      </w:r>
      <w:proofErr w:type="gramStart"/>
      <w:r w:rsidRPr="00A50D04">
        <w:rPr>
          <w:rFonts w:asciiTheme="majorHAnsi" w:hAnsiTheme="majorHAnsi" w:cstheme="majorHAnsi"/>
          <w:sz w:val="22"/>
          <w:szCs w:val="22"/>
        </w:rPr>
        <w:t>2007.04301.x</w:t>
      </w:r>
      <w:proofErr w:type="gramEnd"/>
    </w:p>
    <w:p w14:paraId="547459FB" w14:textId="77777777" w:rsidR="00A50D04" w:rsidRPr="00A50D04" w:rsidRDefault="00A50D04" w:rsidP="009B03E5">
      <w:pPr>
        <w:ind w:left="720"/>
        <w:contextualSpacing/>
        <w:rPr>
          <w:rFonts w:asciiTheme="majorHAnsi" w:hAnsiTheme="majorHAnsi" w:cstheme="majorHAnsi"/>
          <w:sz w:val="22"/>
          <w:szCs w:val="22"/>
        </w:rPr>
      </w:pPr>
    </w:p>
    <w:p w14:paraId="0EACDC23" w14:textId="77777777" w:rsidR="00A50D04" w:rsidRPr="00A50D04" w:rsidRDefault="00A50D04" w:rsidP="009B03E5">
      <w:pPr>
        <w:contextualSpacing/>
        <w:rPr>
          <w:rFonts w:asciiTheme="majorHAnsi" w:hAnsiTheme="majorHAnsi" w:cstheme="majorHAnsi"/>
          <w:sz w:val="22"/>
          <w:szCs w:val="22"/>
        </w:rPr>
      </w:pPr>
      <w:r w:rsidRPr="00A50D04">
        <w:rPr>
          <w:rFonts w:asciiTheme="majorHAnsi" w:hAnsiTheme="majorHAnsi" w:cstheme="majorHAnsi"/>
          <w:sz w:val="22"/>
          <w:szCs w:val="22"/>
        </w:rPr>
        <w:t xml:space="preserve">Zielinski V. &amp; Beardmore, D. (2012). Rethinking student night duty placements – a replication </w:t>
      </w:r>
      <w:r w:rsidRPr="00A50D04">
        <w:rPr>
          <w:rFonts w:asciiTheme="majorHAnsi" w:hAnsiTheme="majorHAnsi" w:cstheme="majorHAnsi"/>
          <w:sz w:val="22"/>
          <w:szCs w:val="22"/>
        </w:rPr>
        <w:lastRenderedPageBreak/>
        <w:t xml:space="preserve">study. </w:t>
      </w:r>
      <w:r w:rsidRPr="00A50D04">
        <w:rPr>
          <w:rFonts w:asciiTheme="majorHAnsi" w:hAnsiTheme="majorHAnsi" w:cstheme="majorHAnsi"/>
          <w:i/>
          <w:sz w:val="22"/>
          <w:szCs w:val="22"/>
        </w:rPr>
        <w:t>Australian Journal of Advanced Nursing 30</w:t>
      </w:r>
      <w:r w:rsidRPr="00A50D04">
        <w:rPr>
          <w:rFonts w:asciiTheme="majorHAnsi" w:hAnsiTheme="majorHAnsi" w:cstheme="majorHAnsi"/>
          <w:sz w:val="22"/>
          <w:szCs w:val="22"/>
        </w:rPr>
        <w:t>(1), (12-22).</w:t>
      </w:r>
    </w:p>
    <w:p w14:paraId="1885D80D" w14:textId="77777777" w:rsidR="00A50D04" w:rsidRPr="00A50D04" w:rsidRDefault="00A50D04" w:rsidP="009B03E5">
      <w:pPr>
        <w:pStyle w:val="NoSpacing"/>
        <w:ind w:left="720"/>
        <w:contextualSpacing/>
        <w:rPr>
          <w:rFonts w:asciiTheme="majorHAnsi" w:hAnsiTheme="majorHAnsi" w:cstheme="majorHAnsi"/>
        </w:rPr>
      </w:pPr>
    </w:p>
    <w:p w14:paraId="519E5B54" w14:textId="77777777" w:rsidR="009B03E5" w:rsidRPr="00A50D04" w:rsidRDefault="009B03E5" w:rsidP="009B03E5">
      <w:pPr>
        <w:pStyle w:val="NoSpacing"/>
        <w:contextualSpacing/>
        <w:rPr>
          <w:rFonts w:asciiTheme="majorHAnsi" w:hAnsiTheme="majorHAnsi" w:cstheme="majorHAnsi"/>
        </w:rPr>
      </w:pPr>
      <w:proofErr w:type="spellStart"/>
      <w:r w:rsidRPr="00A50D04">
        <w:rPr>
          <w:rFonts w:asciiTheme="majorHAnsi" w:hAnsiTheme="majorHAnsi" w:cstheme="majorHAnsi"/>
        </w:rPr>
        <w:t>Zwerdling</w:t>
      </w:r>
      <w:proofErr w:type="spellEnd"/>
      <w:r w:rsidRPr="00A50D04">
        <w:rPr>
          <w:rFonts w:asciiTheme="majorHAnsi" w:hAnsiTheme="majorHAnsi" w:cstheme="majorHAnsi"/>
        </w:rPr>
        <w:t xml:space="preserve">, D. (2015). </w:t>
      </w:r>
      <w:r w:rsidRPr="00A50D04">
        <w:rPr>
          <w:rFonts w:asciiTheme="majorHAnsi" w:hAnsiTheme="majorHAnsi" w:cstheme="majorHAnsi"/>
          <w:i/>
        </w:rPr>
        <w:t>Hospitals fail to protect nursing staff from becoming patients</w:t>
      </w:r>
      <w:r w:rsidRPr="00A50D04">
        <w:rPr>
          <w:rFonts w:asciiTheme="majorHAnsi" w:hAnsiTheme="majorHAnsi" w:cstheme="majorHAnsi"/>
        </w:rPr>
        <w:t>. http://www.npr.org/2015/02/04/382639199/hospitals-fail-to-protect-nursing-staff-from-becoming-patients.</w:t>
      </w:r>
    </w:p>
    <w:p w14:paraId="43229037" w14:textId="77777777" w:rsidR="009B03E5" w:rsidRDefault="009B03E5" w:rsidP="009B03E5">
      <w:pPr>
        <w:contextualSpacing/>
        <w:jc w:val="both"/>
        <w:rPr>
          <w:rFonts w:asciiTheme="majorHAnsi" w:hAnsiTheme="majorHAnsi" w:cstheme="majorHAnsi"/>
          <w:sz w:val="22"/>
          <w:szCs w:val="22"/>
        </w:rPr>
      </w:pPr>
    </w:p>
    <w:p w14:paraId="3AA434D4" w14:textId="02BE8CC2" w:rsidR="007804D6" w:rsidRPr="00A50D04" w:rsidRDefault="007804D6" w:rsidP="00A50D04">
      <w:pPr>
        <w:tabs>
          <w:tab w:val="left" w:pos="550"/>
        </w:tabs>
        <w:contextualSpacing/>
        <w:jc w:val="both"/>
        <w:rPr>
          <w:rFonts w:asciiTheme="majorHAnsi" w:hAnsiTheme="majorHAnsi" w:cstheme="majorHAnsi"/>
          <w:b/>
          <w:sz w:val="22"/>
          <w:szCs w:val="22"/>
        </w:rPr>
      </w:pPr>
      <w:r w:rsidRPr="00A50D04">
        <w:rPr>
          <w:rFonts w:asciiTheme="majorHAnsi" w:hAnsiTheme="majorHAnsi" w:cstheme="majorHAnsi"/>
          <w:b/>
          <w:sz w:val="22"/>
          <w:szCs w:val="22"/>
        </w:rPr>
        <w:t>III. BIOGRAPHY</w:t>
      </w:r>
    </w:p>
    <w:p w14:paraId="632A9703" w14:textId="73F03232" w:rsidR="007804D6" w:rsidRPr="00A50D04" w:rsidRDefault="007804D6" w:rsidP="00A50D04">
      <w:pPr>
        <w:tabs>
          <w:tab w:val="left" w:pos="550"/>
        </w:tabs>
        <w:contextualSpacing/>
        <w:jc w:val="both"/>
        <w:rPr>
          <w:rFonts w:asciiTheme="majorHAnsi" w:hAnsiTheme="majorHAnsi" w:cstheme="majorHAnsi"/>
          <w:b/>
          <w:sz w:val="22"/>
          <w:szCs w:val="22"/>
        </w:rPr>
      </w:pPr>
    </w:p>
    <w:p w14:paraId="60C28C6B" w14:textId="5623AC52" w:rsidR="007804D6" w:rsidRPr="00A50D04" w:rsidRDefault="007804D6" w:rsidP="00A50D04">
      <w:pPr>
        <w:tabs>
          <w:tab w:val="left" w:pos="550"/>
        </w:tabs>
        <w:contextualSpacing/>
        <w:jc w:val="both"/>
        <w:rPr>
          <w:rFonts w:asciiTheme="majorHAnsi" w:hAnsiTheme="majorHAnsi" w:cstheme="majorHAnsi"/>
          <w:sz w:val="22"/>
          <w:szCs w:val="22"/>
        </w:rPr>
      </w:pPr>
      <w:r w:rsidRPr="00A50D04">
        <w:rPr>
          <w:rFonts w:asciiTheme="majorHAnsi" w:hAnsiTheme="majorHAnsi" w:cstheme="majorHAnsi"/>
          <w:sz w:val="22"/>
          <w:szCs w:val="22"/>
        </w:rPr>
        <w:t>Mary Pauline V. Saquing is a registered nurse in the Philippines with a master</w:t>
      </w:r>
      <w:r w:rsidR="00A50D04">
        <w:rPr>
          <w:rFonts w:asciiTheme="majorHAnsi" w:hAnsiTheme="majorHAnsi" w:cstheme="majorHAnsi"/>
          <w:sz w:val="22"/>
          <w:szCs w:val="22"/>
        </w:rPr>
        <w:t>’s</w:t>
      </w:r>
      <w:r w:rsidRPr="00A50D04">
        <w:rPr>
          <w:rFonts w:asciiTheme="majorHAnsi" w:hAnsiTheme="majorHAnsi" w:cstheme="majorHAnsi"/>
          <w:sz w:val="22"/>
          <w:szCs w:val="22"/>
        </w:rPr>
        <w:t xml:space="preserve"> degree in Nursing Administration. She obtained her doctorate in Educational Administration from the premiere </w:t>
      </w:r>
      <w:r w:rsidR="00A50D04">
        <w:rPr>
          <w:rFonts w:asciiTheme="majorHAnsi" w:hAnsiTheme="majorHAnsi" w:cstheme="majorHAnsi"/>
          <w:sz w:val="22"/>
          <w:szCs w:val="22"/>
        </w:rPr>
        <w:t xml:space="preserve">government </w:t>
      </w:r>
      <w:r w:rsidRPr="00A50D04">
        <w:rPr>
          <w:rFonts w:asciiTheme="majorHAnsi" w:hAnsiTheme="majorHAnsi" w:cstheme="majorHAnsi"/>
          <w:sz w:val="22"/>
          <w:szCs w:val="22"/>
        </w:rPr>
        <w:t xml:space="preserve">university in the capital city of the Philippines where she served as </w:t>
      </w:r>
      <w:r w:rsidR="007F0252" w:rsidRPr="00A50D04">
        <w:rPr>
          <w:rFonts w:asciiTheme="majorHAnsi" w:hAnsiTheme="majorHAnsi" w:cstheme="majorHAnsi"/>
          <w:sz w:val="22"/>
          <w:szCs w:val="22"/>
        </w:rPr>
        <w:t xml:space="preserve">a </w:t>
      </w:r>
      <w:r w:rsidRPr="00A50D04">
        <w:rPr>
          <w:rFonts w:asciiTheme="majorHAnsi" w:hAnsiTheme="majorHAnsi" w:cstheme="majorHAnsi"/>
          <w:sz w:val="22"/>
          <w:szCs w:val="22"/>
        </w:rPr>
        <w:t xml:space="preserve">clinical instructor </w:t>
      </w:r>
      <w:r w:rsidR="007F0252" w:rsidRPr="00A50D04">
        <w:rPr>
          <w:rFonts w:asciiTheme="majorHAnsi" w:hAnsiTheme="majorHAnsi" w:cstheme="majorHAnsi"/>
          <w:sz w:val="22"/>
          <w:szCs w:val="22"/>
        </w:rPr>
        <w:t>for over a decade, as well as</w:t>
      </w:r>
      <w:r w:rsidRPr="00A50D04">
        <w:rPr>
          <w:rFonts w:asciiTheme="majorHAnsi" w:hAnsiTheme="majorHAnsi" w:cstheme="majorHAnsi"/>
          <w:sz w:val="22"/>
          <w:szCs w:val="22"/>
        </w:rPr>
        <w:t xml:space="preserve"> </w:t>
      </w:r>
      <w:r w:rsidR="007F0252" w:rsidRPr="00A50D04">
        <w:rPr>
          <w:rFonts w:asciiTheme="majorHAnsi" w:hAnsiTheme="majorHAnsi" w:cstheme="majorHAnsi"/>
          <w:sz w:val="22"/>
          <w:szCs w:val="22"/>
        </w:rPr>
        <w:t xml:space="preserve">an </w:t>
      </w:r>
      <w:r w:rsidRPr="00A50D04">
        <w:rPr>
          <w:rFonts w:asciiTheme="majorHAnsi" w:hAnsiTheme="majorHAnsi" w:cstheme="majorHAnsi"/>
          <w:sz w:val="22"/>
          <w:szCs w:val="22"/>
        </w:rPr>
        <w:t xml:space="preserve">administrative official in different </w:t>
      </w:r>
      <w:r w:rsidR="00A50D04">
        <w:rPr>
          <w:rFonts w:asciiTheme="majorHAnsi" w:hAnsiTheme="majorHAnsi" w:cstheme="majorHAnsi"/>
          <w:sz w:val="22"/>
          <w:szCs w:val="22"/>
        </w:rPr>
        <w:t>key departments</w:t>
      </w:r>
      <w:r w:rsidRPr="00A50D04">
        <w:rPr>
          <w:rFonts w:asciiTheme="majorHAnsi" w:hAnsiTheme="majorHAnsi" w:cstheme="majorHAnsi"/>
          <w:sz w:val="22"/>
          <w:szCs w:val="22"/>
        </w:rPr>
        <w:t xml:space="preserve">. She is currently </w:t>
      </w:r>
      <w:r w:rsidR="007F0252" w:rsidRPr="00A50D04">
        <w:rPr>
          <w:rFonts w:asciiTheme="majorHAnsi" w:hAnsiTheme="majorHAnsi" w:cstheme="majorHAnsi"/>
          <w:sz w:val="22"/>
          <w:szCs w:val="22"/>
        </w:rPr>
        <w:t>pursuing Master of Science in Bioethics at the University of the Philippines. Her research undertakings involve research ethics, nursing education, gender and development, and policy formulation.</w:t>
      </w:r>
    </w:p>
    <w:p w14:paraId="388B4EE9" w14:textId="535F0C2C" w:rsidR="007F0252" w:rsidRPr="00A50D04" w:rsidRDefault="007F0252" w:rsidP="00A50D04">
      <w:pPr>
        <w:tabs>
          <w:tab w:val="left" w:pos="550"/>
        </w:tabs>
        <w:contextualSpacing/>
        <w:jc w:val="both"/>
        <w:rPr>
          <w:rFonts w:asciiTheme="majorHAnsi" w:hAnsiTheme="majorHAnsi" w:cstheme="majorHAnsi"/>
          <w:sz w:val="22"/>
          <w:szCs w:val="22"/>
        </w:rPr>
      </w:pPr>
    </w:p>
    <w:p w14:paraId="0062D16D" w14:textId="05DD88E9" w:rsidR="007F0252" w:rsidRPr="00A50D04" w:rsidRDefault="007F0252" w:rsidP="00A50D04">
      <w:pPr>
        <w:tabs>
          <w:tab w:val="left" w:pos="550"/>
        </w:tabs>
        <w:contextualSpacing/>
        <w:jc w:val="both"/>
        <w:rPr>
          <w:rFonts w:asciiTheme="majorHAnsi" w:hAnsiTheme="majorHAnsi" w:cstheme="majorHAnsi"/>
          <w:b/>
          <w:sz w:val="22"/>
          <w:szCs w:val="22"/>
        </w:rPr>
      </w:pPr>
      <w:r w:rsidRPr="00A50D04">
        <w:rPr>
          <w:rFonts w:asciiTheme="majorHAnsi" w:hAnsiTheme="majorHAnsi" w:cstheme="majorHAnsi"/>
          <w:b/>
          <w:sz w:val="22"/>
          <w:szCs w:val="22"/>
        </w:rPr>
        <w:t>IV. PRESENTING AUTHOR DETAILS</w:t>
      </w:r>
    </w:p>
    <w:p w14:paraId="6A80103A" w14:textId="1EDA0C0B" w:rsidR="007804D6" w:rsidRPr="00A50D04" w:rsidRDefault="007804D6" w:rsidP="00A50D04">
      <w:pPr>
        <w:tabs>
          <w:tab w:val="left" w:pos="550"/>
        </w:tabs>
        <w:contextualSpacing/>
        <w:jc w:val="both"/>
        <w:rPr>
          <w:rFonts w:asciiTheme="majorHAnsi" w:hAnsiTheme="majorHAnsi" w:cstheme="majorHAnsi"/>
          <w:sz w:val="22"/>
          <w:szCs w:val="22"/>
        </w:rPr>
      </w:pPr>
    </w:p>
    <w:p w14:paraId="2E0CBAB8" w14:textId="4DDEDC29" w:rsidR="007F0252" w:rsidRPr="00A50D04" w:rsidRDefault="007F0252" w:rsidP="00A50D04">
      <w:pPr>
        <w:tabs>
          <w:tab w:val="left" w:pos="550"/>
        </w:tabs>
        <w:contextualSpacing/>
        <w:jc w:val="both"/>
        <w:rPr>
          <w:rFonts w:asciiTheme="majorHAnsi" w:hAnsiTheme="majorHAnsi" w:cstheme="majorHAnsi"/>
          <w:sz w:val="22"/>
          <w:szCs w:val="22"/>
        </w:rPr>
      </w:pPr>
      <w:r w:rsidRPr="00A50D04">
        <w:rPr>
          <w:rFonts w:asciiTheme="majorHAnsi" w:hAnsiTheme="majorHAnsi" w:cstheme="majorHAnsi"/>
          <w:sz w:val="22"/>
          <w:szCs w:val="22"/>
        </w:rPr>
        <w:t>MARY PAULINE V. SAQUING</w:t>
      </w:r>
    </w:p>
    <w:p w14:paraId="662FFFBB" w14:textId="05349904" w:rsidR="007F0252" w:rsidRPr="00A50D04" w:rsidRDefault="007F0252" w:rsidP="00A50D04">
      <w:pPr>
        <w:tabs>
          <w:tab w:val="left" w:pos="550"/>
        </w:tabs>
        <w:contextualSpacing/>
        <w:jc w:val="both"/>
        <w:rPr>
          <w:rFonts w:asciiTheme="majorHAnsi" w:hAnsiTheme="majorHAnsi" w:cstheme="majorHAnsi"/>
          <w:sz w:val="22"/>
          <w:szCs w:val="22"/>
        </w:rPr>
      </w:pPr>
      <w:r w:rsidRPr="00A50D04">
        <w:rPr>
          <w:rFonts w:asciiTheme="majorHAnsi" w:hAnsiTheme="majorHAnsi" w:cstheme="majorHAnsi"/>
          <w:sz w:val="22"/>
          <w:szCs w:val="22"/>
        </w:rPr>
        <w:t>+639273951141</w:t>
      </w:r>
    </w:p>
    <w:p w14:paraId="3E4011D0" w14:textId="77777777" w:rsidR="000448F7" w:rsidRPr="00A50D04" w:rsidRDefault="000448F7" w:rsidP="00A50D04">
      <w:pPr>
        <w:jc w:val="both"/>
        <w:rPr>
          <w:rFonts w:asciiTheme="majorHAnsi" w:hAnsiTheme="majorHAnsi" w:cstheme="majorHAnsi"/>
          <w:sz w:val="22"/>
          <w:szCs w:val="22"/>
        </w:rPr>
      </w:pPr>
      <w:bookmarkStart w:id="0" w:name="_GoBack"/>
      <w:bookmarkEnd w:id="0"/>
    </w:p>
    <w:sectPr w:rsidR="000448F7" w:rsidRPr="00A50D04" w:rsidSect="007804D6">
      <w:type w:val="continuous"/>
      <w:pgSz w:w="12240" w:h="15840"/>
      <w:pgMar w:top="1440" w:right="1440" w:bottom="1440" w:left="1440" w:header="720" w:footer="720" w:gutter="0"/>
      <w:pgNumType w:fmt="lowerRoman" w:start="4"/>
      <w:cols w:num="2"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2E8B9" w14:textId="77777777" w:rsidR="009A3471" w:rsidRDefault="009B03E5">
    <w:pPr>
      <w:pStyle w:val="Header"/>
      <w:jc w:val="right"/>
    </w:pPr>
    <w:r>
      <w:fldChar w:fldCharType="begin"/>
    </w:r>
    <w:r>
      <w:instrText xml:space="preserve"> PAGE   \* MERGEFORMAT </w:instrText>
    </w:r>
    <w:r>
      <w:fldChar w:fldCharType="separate"/>
    </w:r>
    <w:r>
      <w:rPr>
        <w:noProof/>
      </w:rPr>
      <w:t>v</w:t>
    </w:r>
    <w:r>
      <w:rPr>
        <w:noProof/>
      </w:rPr>
      <w:fldChar w:fldCharType="end"/>
    </w:r>
  </w:p>
  <w:p w14:paraId="02F6C1B9" w14:textId="77777777" w:rsidR="009A3471" w:rsidRDefault="009B03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4D6"/>
    <w:rsid w:val="000448F7"/>
    <w:rsid w:val="002C7761"/>
    <w:rsid w:val="007804D6"/>
    <w:rsid w:val="007F0252"/>
    <w:rsid w:val="00804DEC"/>
    <w:rsid w:val="008F599F"/>
    <w:rsid w:val="009B03E5"/>
    <w:rsid w:val="00A50D0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51526"/>
  <w15:chartTrackingRefBased/>
  <w15:docId w15:val="{C3F6B517-209B-4920-85F6-BBCC978E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04D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4D6"/>
    <w:pPr>
      <w:ind w:left="720"/>
      <w:contextualSpacing/>
    </w:pPr>
  </w:style>
  <w:style w:type="paragraph" w:styleId="Header">
    <w:name w:val="header"/>
    <w:basedOn w:val="Normal"/>
    <w:link w:val="HeaderChar"/>
    <w:uiPriority w:val="99"/>
    <w:unhideWhenUsed/>
    <w:rsid w:val="007804D6"/>
    <w:pPr>
      <w:tabs>
        <w:tab w:val="center" w:pos="4680"/>
        <w:tab w:val="right" w:pos="9360"/>
      </w:tabs>
    </w:pPr>
  </w:style>
  <w:style w:type="character" w:customStyle="1" w:styleId="HeaderChar">
    <w:name w:val="Header Char"/>
    <w:basedOn w:val="DefaultParagraphFont"/>
    <w:link w:val="Header"/>
    <w:uiPriority w:val="99"/>
    <w:rsid w:val="007804D6"/>
    <w:rPr>
      <w:rFonts w:ascii="Times New Roman" w:eastAsia="Times New Roman" w:hAnsi="Times New Roman" w:cs="Times New Roman"/>
      <w:sz w:val="24"/>
      <w:szCs w:val="24"/>
      <w:lang w:val="en-US"/>
    </w:rPr>
  </w:style>
  <w:style w:type="paragraph" w:styleId="NoSpacing">
    <w:name w:val="No Spacing"/>
    <w:qFormat/>
    <w:rsid w:val="00A50D04"/>
    <w:pPr>
      <w:spacing w:after="0" w:line="240" w:lineRule="auto"/>
    </w:pPr>
    <w:rPr>
      <w:rFonts w:ascii="Calibri" w:eastAsia="Calibri" w:hAnsi="Calibri" w:cs="Times New Roman"/>
      <w:lang w:val="en-US"/>
    </w:rPr>
  </w:style>
  <w:style w:type="character" w:styleId="HTMLCite">
    <w:name w:val="HTML Cite"/>
    <w:basedOn w:val="DefaultParagraphFont"/>
    <w:uiPriority w:val="99"/>
    <w:semiHidden/>
    <w:unhideWhenUsed/>
    <w:rsid w:val="00A50D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41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Pauline V. Saquing</dc:creator>
  <cp:keywords/>
  <dc:description/>
  <cp:lastModifiedBy>Mary Pauline V. Saquing</cp:lastModifiedBy>
  <cp:revision>2</cp:revision>
  <dcterms:created xsi:type="dcterms:W3CDTF">2019-01-24T11:54:00Z</dcterms:created>
  <dcterms:modified xsi:type="dcterms:W3CDTF">2019-01-24T12:34:00Z</dcterms:modified>
</cp:coreProperties>
</file>