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C1E79" w14:textId="2BB2EB68" w:rsidR="008A55B5" w:rsidRPr="0005164C" w:rsidRDefault="003C0794" w:rsidP="00861508">
      <w:pPr>
        <w:rPr>
          <w:rFonts w:eastAsia="MS Mincho"/>
          <w:b/>
          <w:sz w:val="22"/>
          <w:szCs w:val="22"/>
          <w:u w:val="single"/>
        </w:rPr>
      </w:pPr>
      <w:r w:rsidRPr="0005164C">
        <w:rPr>
          <w:rFonts w:eastAsia="MS Mincho"/>
          <w:b/>
          <w:sz w:val="22"/>
          <w:szCs w:val="22"/>
          <w:u w:val="single"/>
        </w:rPr>
        <w:t>Abstract</w:t>
      </w:r>
    </w:p>
    <w:p w14:paraId="16F9BCC9" w14:textId="77777777" w:rsidR="003C0794" w:rsidRDefault="003C0794">
      <w:pPr>
        <w:pStyle w:val="Author"/>
        <w:rPr>
          <w:rFonts w:eastAsia="MS Mincho"/>
          <w:sz w:val="18"/>
          <w:szCs w:val="18"/>
        </w:rPr>
      </w:pPr>
    </w:p>
    <w:p w14:paraId="05CC20AC"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030E1C10" w14:textId="7D5AF9F1"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1811EF">
        <w:rPr>
          <w:rFonts w:eastAsia="MS PGothic"/>
          <w:b/>
          <w:color w:val="000000"/>
          <w:sz w:val="22"/>
          <w:szCs w:val="22"/>
        </w:rPr>
        <w:t xml:space="preserve"> Best of Intentions: The Dangers of Empirical Antibiotics for Pneumonia</w:t>
      </w:r>
    </w:p>
    <w:p w14:paraId="5B5D2AB6" w14:textId="77777777" w:rsidR="00133021" w:rsidRDefault="00133021">
      <w:pPr>
        <w:rPr>
          <w:rFonts w:eastAsia="MS Mincho"/>
          <w:sz w:val="19"/>
          <w:szCs w:val="19"/>
        </w:rPr>
      </w:pPr>
    </w:p>
    <w:p w14:paraId="319B096D" w14:textId="77777777" w:rsidR="00133021" w:rsidRDefault="00133021">
      <w:pPr>
        <w:rPr>
          <w:rFonts w:eastAsia="MS Mincho"/>
          <w:sz w:val="19"/>
          <w:szCs w:val="19"/>
        </w:rPr>
      </w:pPr>
    </w:p>
    <w:p w14:paraId="6EEAC0EE" w14:textId="217F743D" w:rsidR="00133021" w:rsidRDefault="00133021">
      <w:pPr>
        <w:rPr>
          <w:rFonts w:eastAsia="MS Mincho"/>
          <w:sz w:val="19"/>
          <w:szCs w:val="19"/>
        </w:rPr>
        <w:sectPr w:rsidR="00133021" w:rsidSect="00133021">
          <w:type w:val="continuous"/>
          <w:pgSz w:w="11909" w:h="16834" w:code="9"/>
          <w:pgMar w:top="1080" w:right="734" w:bottom="2434" w:left="734" w:header="720" w:footer="720" w:gutter="0"/>
          <w:cols w:space="360"/>
          <w:docGrid w:linePitch="360"/>
        </w:sectPr>
      </w:pPr>
    </w:p>
    <w:p w14:paraId="680EC2A7"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14:paraId="194E6586" w14:textId="630933A0" w:rsidR="00883A50" w:rsidRPr="009363C5" w:rsidRDefault="001811EF" w:rsidP="00883A50">
      <w:pPr>
        <w:jc w:val="both"/>
        <w:rPr>
          <w:sz w:val="19"/>
          <w:szCs w:val="19"/>
          <w:lang w:val="en-IN" w:eastAsia="en-IN"/>
        </w:rPr>
      </w:pPr>
      <w:r>
        <w:rPr>
          <w:sz w:val="19"/>
          <w:szCs w:val="19"/>
          <w:lang w:val="en-IN" w:eastAsia="en-IN"/>
        </w:rPr>
        <w:t>The theory behind early, broad spectrum antibiotics for pneumonia is sound, as it is in many acute bacterial infections.  However, this line of medical logic was never meant to be the complete treatment.  It was always meant to begin therapeutic treatment while laboratory results, including culture and sensitivity</w:t>
      </w:r>
      <w:r w:rsidR="009D4C10">
        <w:rPr>
          <w:sz w:val="19"/>
          <w:szCs w:val="19"/>
          <w:lang w:val="en-IN" w:eastAsia="en-IN"/>
        </w:rPr>
        <w:t xml:space="preserve">, results were available to direct antimicrobial care to a more specific therapeutic range based on the pathology present.  However, the widespread acceptance of early empirical antibiotic therapies has transformed practice and reduced or outright eliminated the urgency of seeking primary cultures for pneumonia.  In fact, in the United States, </w:t>
      </w:r>
      <w:r w:rsidR="008E3243">
        <w:rPr>
          <w:sz w:val="19"/>
          <w:szCs w:val="19"/>
          <w:lang w:val="en-IN" w:eastAsia="en-IN"/>
        </w:rPr>
        <w:t xml:space="preserve">it is estimated that less than </w:t>
      </w:r>
      <w:r w:rsidR="00586E9D">
        <w:rPr>
          <w:sz w:val="19"/>
          <w:szCs w:val="19"/>
          <w:lang w:val="en-IN" w:eastAsia="en-IN"/>
        </w:rPr>
        <w:t xml:space="preserve">6% of patients in Emergency Departments have sputum samples collected or even attempted prior to antibiotic therapy initiation.  Blood cultures, a secondary source of detecting pneumonia pathogens, are instead sought which have a consistently lower yield in positively identifying pathogens than a primary source culture.  Due to this practice shift, definitive care is often not an option and broad-spectrum therapies </w:t>
      </w:r>
      <w:r w:rsidR="006E557D">
        <w:rPr>
          <w:sz w:val="19"/>
          <w:szCs w:val="19"/>
          <w:lang w:val="en-IN" w:eastAsia="en-IN"/>
        </w:rPr>
        <w:t xml:space="preserve">are </w:t>
      </w:r>
      <w:r w:rsidR="00586E9D">
        <w:rPr>
          <w:sz w:val="19"/>
          <w:szCs w:val="19"/>
          <w:lang w:val="en-IN" w:eastAsia="en-IN"/>
        </w:rPr>
        <w:t xml:space="preserve">used </w:t>
      </w:r>
      <w:r w:rsidR="006E557D">
        <w:rPr>
          <w:sz w:val="19"/>
          <w:szCs w:val="19"/>
          <w:lang w:val="en-IN" w:eastAsia="en-IN"/>
        </w:rPr>
        <w:t xml:space="preserve">as </w:t>
      </w:r>
      <w:r w:rsidR="00586E9D">
        <w:rPr>
          <w:sz w:val="19"/>
          <w:szCs w:val="19"/>
          <w:lang w:val="en-IN" w:eastAsia="en-IN"/>
        </w:rPr>
        <w:t>treatment</w:t>
      </w:r>
      <w:r w:rsidR="006E557D">
        <w:rPr>
          <w:sz w:val="19"/>
          <w:szCs w:val="19"/>
          <w:lang w:val="en-IN" w:eastAsia="en-IN"/>
        </w:rPr>
        <w:t>,</w:t>
      </w:r>
      <w:r w:rsidR="00586E9D">
        <w:rPr>
          <w:sz w:val="19"/>
          <w:szCs w:val="19"/>
          <w:lang w:val="en-IN" w:eastAsia="en-IN"/>
        </w:rPr>
        <w:t xml:space="preserve"> or there is a delay in obtaining sensitivity data on the source pathogen leading to prolonged use of unnecessarily broad-spectrum treatment.  The pitfall </w:t>
      </w:r>
      <w:r w:rsidR="00586E9D" w:rsidRPr="009363C5">
        <w:rPr>
          <w:sz w:val="19"/>
          <w:szCs w:val="19"/>
          <w:lang w:val="en-IN" w:eastAsia="en-IN"/>
        </w:rPr>
        <w:t>to</w:t>
      </w:r>
      <w:r w:rsidR="00586E9D">
        <w:rPr>
          <w:sz w:val="19"/>
          <w:szCs w:val="19"/>
          <w:lang w:val="en-IN" w:eastAsia="en-IN"/>
        </w:rPr>
        <w:t xml:space="preserve"> this practice is now rearing its head with increasingly resistant bacterial strains, depletion of patients’ healthy flora leading to secondary infections such as </w:t>
      </w:r>
      <w:r w:rsidR="00586E9D">
        <w:rPr>
          <w:i/>
          <w:sz w:val="19"/>
          <w:szCs w:val="19"/>
          <w:lang w:val="en-IN" w:eastAsia="en-IN"/>
        </w:rPr>
        <w:t>C. difficile</w:t>
      </w:r>
      <w:r w:rsidR="009363C5">
        <w:rPr>
          <w:sz w:val="19"/>
          <w:szCs w:val="19"/>
          <w:lang w:val="en-IN" w:eastAsia="en-IN"/>
        </w:rPr>
        <w:t>, and increased healthcare costs.  By examining international research data, we will examine the various reasons for this practice and provide best practice changes which are both cost-saving and improve patient outcomes.</w:t>
      </w:r>
    </w:p>
    <w:p w14:paraId="6F998BE3" w14:textId="77777777" w:rsidR="00883A50" w:rsidRDefault="00883A50" w:rsidP="00883A50">
      <w:pPr>
        <w:jc w:val="both"/>
        <w:rPr>
          <w:sz w:val="19"/>
          <w:szCs w:val="19"/>
          <w:lang w:val="en-IN" w:eastAsia="en-IN"/>
        </w:rPr>
      </w:pPr>
    </w:p>
    <w:p w14:paraId="709864DE"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21629DF3" w14:textId="77777777" w:rsidR="00861508" w:rsidRPr="0005164C" w:rsidRDefault="00861508" w:rsidP="00861508">
      <w:pPr>
        <w:rPr>
          <w:sz w:val="19"/>
          <w:szCs w:val="19"/>
        </w:rPr>
      </w:pPr>
    </w:p>
    <w:p w14:paraId="06BE3F8A" w14:textId="77777777" w:rsidR="003C0794" w:rsidRPr="0005164C" w:rsidRDefault="003C0794" w:rsidP="00861508">
      <w:pPr>
        <w:pStyle w:val="BodyText"/>
        <w:numPr>
          <w:ilvl w:val="0"/>
          <w:numId w:val="22"/>
        </w:numPr>
        <w:jc w:val="left"/>
        <w:rPr>
          <w:b/>
          <w:sz w:val="19"/>
          <w:szCs w:val="19"/>
        </w:rPr>
      </w:pPr>
      <w:r w:rsidRPr="0005164C">
        <w:rPr>
          <w:b/>
          <w:sz w:val="19"/>
          <w:szCs w:val="19"/>
        </w:rPr>
        <w:t>Reference:</w:t>
      </w:r>
    </w:p>
    <w:p w14:paraId="1FCE2B76" w14:textId="76EDC4C9" w:rsidR="009D4447" w:rsidRDefault="009D4447" w:rsidP="009D4447">
      <w:pPr>
        <w:pStyle w:val="Bibliography"/>
        <w:ind w:left="720" w:hanging="720"/>
        <w:rPr>
          <w:noProof/>
          <w:sz w:val="24"/>
          <w:szCs w:val="24"/>
        </w:rPr>
      </w:pPr>
      <w:bookmarkStart w:id="0" w:name="2"/>
      <w:bookmarkEnd w:id="0"/>
      <w:r>
        <w:rPr>
          <w:noProof/>
        </w:rPr>
        <w:t xml:space="preserve">Bart, I. Y., Mourits, M., Gent, R. v., Leuken, M. H., Hilbink, M., Warris, A., . . . Vries, E. d. (2016). Sputum Induction in Children Is Feasible and Useful in a Bustling General Hospital Practice. </w:t>
      </w:r>
      <w:r>
        <w:rPr>
          <w:i/>
          <w:iCs/>
          <w:noProof/>
        </w:rPr>
        <w:t>Global Pediatric Health, 3</w:t>
      </w:r>
      <w:r>
        <w:rPr>
          <w:noProof/>
        </w:rPr>
        <w:t>, 1-4.</w:t>
      </w:r>
    </w:p>
    <w:p w14:paraId="43661A12" w14:textId="77777777" w:rsidR="009D4447" w:rsidRDefault="009D4447" w:rsidP="009D4447">
      <w:pPr>
        <w:pStyle w:val="Bibliography"/>
        <w:ind w:left="720" w:hanging="720"/>
        <w:rPr>
          <w:noProof/>
        </w:rPr>
      </w:pPr>
      <w:r>
        <w:rPr>
          <w:noProof/>
        </w:rPr>
        <w:t xml:space="preserve">Dahal, S., Rijal, B. P., Yogi, K. N., Sherchand, J. B., Parajuli, K., Parajuli, N., &amp; Pokhrel, B. M. (2015, Oct-Dec). Inadequate Empirical Antibiotic Therapy in Hospital Acquired Pneumonia. </w:t>
      </w:r>
      <w:r>
        <w:rPr>
          <w:i/>
          <w:iCs/>
          <w:noProof/>
        </w:rPr>
        <w:t>Journal of the Nepal Medical Association, 53</w:t>
      </w:r>
      <w:r>
        <w:rPr>
          <w:noProof/>
        </w:rPr>
        <w:t>(4), 240-3.</w:t>
      </w:r>
    </w:p>
    <w:p w14:paraId="3F02F3F7" w14:textId="77777777" w:rsidR="009D4447" w:rsidRDefault="009D4447" w:rsidP="009D4447">
      <w:pPr>
        <w:pStyle w:val="Bibliography"/>
        <w:ind w:left="720" w:hanging="720"/>
        <w:rPr>
          <w:noProof/>
        </w:rPr>
      </w:pPr>
      <w:r>
        <w:rPr>
          <w:noProof/>
        </w:rPr>
        <w:t xml:space="preserve">Falcone, M., Corrao, S., Licata, G., Serra, P., &amp; Venditti, M. (2012). Clinical impact of broad-spectrum empirical antibiotic therapy in patients with healthcare-associated pneumonia: a multicenter interventional study. </w:t>
      </w:r>
      <w:r>
        <w:rPr>
          <w:i/>
          <w:iCs/>
          <w:noProof/>
        </w:rPr>
        <w:t>Internal and Emergency Medicine</w:t>
      </w:r>
      <w:r>
        <w:rPr>
          <w:noProof/>
        </w:rPr>
        <w:t>, 7:523-531. doi:10.1007/s11739-012-0795-8</w:t>
      </w:r>
    </w:p>
    <w:p w14:paraId="6F5612E2" w14:textId="77777777" w:rsidR="009D4447" w:rsidRDefault="009D4447" w:rsidP="00ED1CA5">
      <w:pPr>
        <w:pStyle w:val="Bibliography"/>
        <w:ind w:left="720" w:hanging="720"/>
        <w:jc w:val="both"/>
        <w:rPr>
          <w:noProof/>
        </w:rPr>
      </w:pPr>
      <w:r>
        <w:rPr>
          <w:noProof/>
        </w:rPr>
        <w:t xml:space="preserve">Mahendra, M., Jayaraj, B., Lokesh, K., Chaya, S., Veerapaneni, V. V., Limaye, S., . . . Mahesh, P. (2018). Antibiotic Prescription, Organisms and its </w:t>
      </w:r>
      <w:r>
        <w:rPr>
          <w:noProof/>
        </w:rPr>
        <w:t xml:space="preserve">Resistance Pattern in Patients Admitted to Respiratory ICU with Respiratory Infection in Mysuru. </w:t>
      </w:r>
      <w:r>
        <w:rPr>
          <w:i/>
          <w:iCs/>
          <w:noProof/>
        </w:rPr>
        <w:t>Indian Journal of Critical Care Medicine, 22</w:t>
      </w:r>
      <w:r>
        <w:rPr>
          <w:noProof/>
        </w:rPr>
        <w:t>, 223-30.</w:t>
      </w:r>
    </w:p>
    <w:p w14:paraId="541F653B" w14:textId="77777777" w:rsidR="009D4447" w:rsidRDefault="009D4447" w:rsidP="009D4447">
      <w:pPr>
        <w:pStyle w:val="Bibliography"/>
        <w:ind w:left="720" w:hanging="720"/>
        <w:rPr>
          <w:noProof/>
        </w:rPr>
      </w:pPr>
      <w:r>
        <w:rPr>
          <w:noProof/>
        </w:rPr>
        <w:t xml:space="preserve">Mostaghim, M., Snelling, T., McMullan, B., Ewe, Y. H., &amp; Bajorek, B. (2018). Impact of clinical decision support on empirical antibiotic prescribing for children with community-acquired pneumonia. </w:t>
      </w:r>
      <w:r>
        <w:rPr>
          <w:i/>
          <w:iCs/>
          <w:noProof/>
        </w:rPr>
        <w:t>Journal of Paediatric and Child Health</w:t>
      </w:r>
      <w:r>
        <w:rPr>
          <w:noProof/>
        </w:rPr>
        <w:t>, 1-7.</w:t>
      </w:r>
    </w:p>
    <w:p w14:paraId="17F5487B" w14:textId="6885FAA7" w:rsidR="009D4447" w:rsidRDefault="009D4447" w:rsidP="009D4447"/>
    <w:p w14:paraId="49BCFC6B"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722C6411" w14:textId="7BB04DC5" w:rsidR="00861508" w:rsidRPr="0005164C" w:rsidRDefault="000B6E99" w:rsidP="00861508">
      <w:pPr>
        <w:jc w:val="both"/>
        <w:rPr>
          <w:rFonts w:eastAsia="MS PGothic"/>
          <w:b/>
          <w:sz w:val="19"/>
          <w:szCs w:val="19"/>
        </w:rPr>
      </w:pPr>
      <w:r>
        <w:rPr>
          <w:sz w:val="19"/>
          <w:szCs w:val="19"/>
        </w:rPr>
        <w:t xml:space="preserve">William Light is a registered nurse with more than 18 years of acute care experience in emergency, pediatrics and trauma nursing.  </w:t>
      </w:r>
      <w:r w:rsidR="00861508" w:rsidRPr="0005164C">
        <w:rPr>
          <w:sz w:val="19"/>
          <w:szCs w:val="19"/>
        </w:rPr>
        <w:tab/>
      </w:r>
      <w:r w:rsidR="00B906CF">
        <w:rPr>
          <w:sz w:val="19"/>
          <w:szCs w:val="19"/>
        </w:rPr>
        <w:t xml:space="preserve">William studied genetics and cellular biology at the University of Missouri.  William decided to defer his admission to Medical School and round out his training by completing </w:t>
      </w:r>
      <w:r w:rsidR="000C06F5">
        <w:rPr>
          <w:sz w:val="19"/>
          <w:szCs w:val="19"/>
        </w:rPr>
        <w:t>h</w:t>
      </w:r>
      <w:bookmarkStart w:id="1" w:name="_GoBack"/>
      <w:bookmarkEnd w:id="1"/>
      <w:r w:rsidR="00B906CF">
        <w:rPr>
          <w:sz w:val="19"/>
          <w:szCs w:val="19"/>
        </w:rPr>
        <w:t xml:space="preserve">is Registered Nursing degree at Lincoln University.  William found his passion in nursing and </w:t>
      </w:r>
      <w:r w:rsidR="00306E07">
        <w:rPr>
          <w:sz w:val="19"/>
          <w:szCs w:val="19"/>
        </w:rPr>
        <w:t>fuses his love of bedside nursing care and background in cellular biology to transform nursing education</w:t>
      </w:r>
      <w:r w:rsidR="00B906CF">
        <w:rPr>
          <w:sz w:val="19"/>
          <w:szCs w:val="19"/>
        </w:rPr>
        <w:t>.  William is currently the VP and Chief Nursing Officer for Solheim Enterprises</w:t>
      </w:r>
      <w:r w:rsidR="00306E07">
        <w:rPr>
          <w:sz w:val="19"/>
          <w:szCs w:val="19"/>
        </w:rPr>
        <w:t xml:space="preserve"> and lectures on various nursing topics around the world.</w:t>
      </w:r>
      <w:r w:rsidR="00861508" w:rsidRPr="0005164C">
        <w:rPr>
          <w:sz w:val="19"/>
          <w:szCs w:val="19"/>
        </w:rPr>
        <w:br/>
      </w:r>
    </w:p>
    <w:p w14:paraId="2C07E028"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452F1B4C" w14:textId="77777777" w:rsidR="00272C82" w:rsidRPr="0005164C" w:rsidRDefault="00272C82" w:rsidP="00861508">
      <w:pPr>
        <w:autoSpaceDE w:val="0"/>
        <w:autoSpaceDN w:val="0"/>
        <w:adjustRightInd w:val="0"/>
        <w:jc w:val="left"/>
        <w:rPr>
          <w:sz w:val="19"/>
          <w:szCs w:val="19"/>
          <w:lang w:val="en-NZ"/>
        </w:rPr>
      </w:pPr>
    </w:p>
    <w:p w14:paraId="3B37185D" w14:textId="3CB9F5CC" w:rsidR="00272C82" w:rsidRPr="0005164C" w:rsidRDefault="000C06F5" w:rsidP="00861508">
      <w:pPr>
        <w:autoSpaceDE w:val="0"/>
        <w:autoSpaceDN w:val="0"/>
        <w:adjustRightInd w:val="0"/>
        <w:jc w:val="left"/>
        <w:rPr>
          <w:sz w:val="19"/>
          <w:szCs w:val="19"/>
          <w:lang w:val="en-NZ"/>
        </w:rPr>
      </w:pPr>
      <w:r>
        <w:rPr>
          <w:sz w:val="19"/>
          <w:szCs w:val="19"/>
          <w:lang w:val="en-GB"/>
        </w:rPr>
        <w:lastRenderedPageBreak/>
        <w:pict w14:anchorId="393F9E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25pt;height:300pt">
            <v:imagedata r:id="rId6" o:title="headshot"/>
          </v:shape>
        </w:pict>
      </w:r>
      <w:r w:rsidR="00861508" w:rsidRPr="0005164C">
        <w:rPr>
          <w:sz w:val="19"/>
          <w:szCs w:val="19"/>
          <w:lang w:val="en-NZ"/>
        </w:rPr>
        <w:br/>
      </w:r>
    </w:p>
    <w:p w14:paraId="4BAE74E3" w14:textId="61806862"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537899">
        <w:rPr>
          <w:sz w:val="19"/>
          <w:szCs w:val="19"/>
          <w:lang w:val="en-NZ"/>
        </w:rPr>
        <w:t xml:space="preserve"> William Light, MSN, RN, CEN, CPEN, TCRN</w:t>
      </w:r>
    </w:p>
    <w:p w14:paraId="7EC6FEC7" w14:textId="75D03E13"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537899">
        <w:rPr>
          <w:sz w:val="19"/>
          <w:szCs w:val="19"/>
          <w:lang w:val="en-NZ"/>
        </w:rPr>
        <w:t xml:space="preserve"> +1 (503) 302-6393</w:t>
      </w:r>
      <w:r w:rsidRPr="0005164C">
        <w:rPr>
          <w:sz w:val="19"/>
          <w:szCs w:val="19"/>
          <w:lang w:val="en-NZ"/>
        </w:rPr>
        <w:br/>
        <w:t>Linked In account:</w:t>
      </w:r>
      <w:r w:rsidR="00537899">
        <w:rPr>
          <w:sz w:val="19"/>
          <w:szCs w:val="19"/>
          <w:lang w:val="en-NZ"/>
        </w:rPr>
        <w:t xml:space="preserve"> </w:t>
      </w:r>
      <w:r w:rsidR="007C6578">
        <w:rPr>
          <w:sz w:val="19"/>
          <w:szCs w:val="19"/>
          <w:lang w:val="en-NZ"/>
        </w:rPr>
        <w:t>linkedin.com/in/bill-light-31b4979</w:t>
      </w:r>
    </w:p>
    <w:p w14:paraId="33292216" w14:textId="75BF554C"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537899">
        <w:rPr>
          <w:sz w:val="19"/>
          <w:szCs w:val="19"/>
          <w:lang w:val="en-NZ"/>
        </w:rPr>
        <w:t xml:space="preserve"> </w:t>
      </w:r>
      <w:r w:rsidRPr="0005164C">
        <w:rPr>
          <w:sz w:val="19"/>
          <w:szCs w:val="19"/>
          <w:lang w:val="en-NZ"/>
        </w:rPr>
        <w:br/>
        <w:t>Category: Oral presentation</w:t>
      </w:r>
    </w:p>
    <w:p w14:paraId="4C0D8154" w14:textId="7A1C550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7C6578">
        <w:rPr>
          <w:sz w:val="18"/>
          <w:szCs w:val="18"/>
          <w:lang w:val="en-IN"/>
        </w:rPr>
        <w:t xml:space="preserve">  USA 538854266</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75241A7"/>
    <w:multiLevelType w:val="hybridMultilevel"/>
    <w:tmpl w:val="2EA27102"/>
    <w:lvl w:ilvl="0" w:tplc="C310B6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473573F3"/>
    <w:multiLevelType w:val="hybridMultilevel"/>
    <w:tmpl w:val="011CD1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5"/>
  </w:num>
  <w:num w:numId="3">
    <w:abstractNumId w:val="4"/>
  </w:num>
  <w:num w:numId="4">
    <w:abstractNumId w:val="9"/>
  </w:num>
  <w:num w:numId="5">
    <w:abstractNumId w:val="9"/>
  </w:num>
  <w:num w:numId="6">
    <w:abstractNumId w:val="9"/>
  </w:num>
  <w:num w:numId="7">
    <w:abstractNumId w:val="9"/>
  </w:num>
  <w:num w:numId="8">
    <w:abstractNumId w:val="12"/>
  </w:num>
  <w:num w:numId="9">
    <w:abstractNumId w:val="16"/>
  </w:num>
  <w:num w:numId="10">
    <w:abstractNumId w:val="8"/>
  </w:num>
  <w:num w:numId="11">
    <w:abstractNumId w:val="3"/>
  </w:num>
  <w:num w:numId="12">
    <w:abstractNumId w:val="19"/>
  </w:num>
  <w:num w:numId="13">
    <w:abstractNumId w:val="11"/>
  </w:num>
  <w:num w:numId="14">
    <w:abstractNumId w:val="13"/>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2"/>
  </w:num>
  <w:num w:numId="21">
    <w:abstractNumId w:val="1"/>
  </w:num>
  <w:num w:numId="22">
    <w:abstractNumId w:val="14"/>
  </w:num>
  <w:num w:numId="23">
    <w:abstractNumId w:val="17"/>
  </w:num>
  <w:num w:numId="24">
    <w:abstractNumId w:val="18"/>
  </w:num>
  <w:num w:numId="25">
    <w:abstractNumId w:val="0"/>
  </w:num>
  <w:num w:numId="26">
    <w:abstractNumId w:val="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characterSpacingControl w:val="doNotCompress"/>
  <w:doNotValidateAgainstSchema/>
  <w:doNotDemarcateInvalidXml/>
  <w:compat>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59A6"/>
    <w:rsid w:val="0004390D"/>
    <w:rsid w:val="0005164C"/>
    <w:rsid w:val="000B4641"/>
    <w:rsid w:val="000B6E99"/>
    <w:rsid w:val="000C06F5"/>
    <w:rsid w:val="0010711E"/>
    <w:rsid w:val="00127EDD"/>
    <w:rsid w:val="00133021"/>
    <w:rsid w:val="001811EF"/>
    <w:rsid w:val="001F554C"/>
    <w:rsid w:val="002043C0"/>
    <w:rsid w:val="00272C82"/>
    <w:rsid w:val="00276735"/>
    <w:rsid w:val="002864A3"/>
    <w:rsid w:val="0029472D"/>
    <w:rsid w:val="002B3B81"/>
    <w:rsid w:val="00306E07"/>
    <w:rsid w:val="00351E9B"/>
    <w:rsid w:val="003A47B5"/>
    <w:rsid w:val="003A59A6"/>
    <w:rsid w:val="003B73AD"/>
    <w:rsid w:val="003C0794"/>
    <w:rsid w:val="004059FE"/>
    <w:rsid w:val="004227FF"/>
    <w:rsid w:val="0044148E"/>
    <w:rsid w:val="004445B3"/>
    <w:rsid w:val="00537899"/>
    <w:rsid w:val="00586E9D"/>
    <w:rsid w:val="005B520E"/>
    <w:rsid w:val="005B535B"/>
    <w:rsid w:val="005D3330"/>
    <w:rsid w:val="006108A4"/>
    <w:rsid w:val="00663E31"/>
    <w:rsid w:val="006C4648"/>
    <w:rsid w:val="006E557D"/>
    <w:rsid w:val="0072064C"/>
    <w:rsid w:val="007442B3"/>
    <w:rsid w:val="00753F7B"/>
    <w:rsid w:val="007766EE"/>
    <w:rsid w:val="0078398E"/>
    <w:rsid w:val="00787C5A"/>
    <w:rsid w:val="007919DE"/>
    <w:rsid w:val="007C0308"/>
    <w:rsid w:val="007C6578"/>
    <w:rsid w:val="008014D2"/>
    <w:rsid w:val="008054BC"/>
    <w:rsid w:val="00812538"/>
    <w:rsid w:val="00841147"/>
    <w:rsid w:val="00861508"/>
    <w:rsid w:val="00883A50"/>
    <w:rsid w:val="008A55B5"/>
    <w:rsid w:val="008A75C8"/>
    <w:rsid w:val="008E3243"/>
    <w:rsid w:val="00907876"/>
    <w:rsid w:val="009363C5"/>
    <w:rsid w:val="0097508D"/>
    <w:rsid w:val="009A5822"/>
    <w:rsid w:val="009D4447"/>
    <w:rsid w:val="009D49B8"/>
    <w:rsid w:val="009D4C10"/>
    <w:rsid w:val="00A510F7"/>
    <w:rsid w:val="00AC6519"/>
    <w:rsid w:val="00B3087D"/>
    <w:rsid w:val="00B906CF"/>
    <w:rsid w:val="00CB1404"/>
    <w:rsid w:val="00CB66E6"/>
    <w:rsid w:val="00D031A9"/>
    <w:rsid w:val="00D319E1"/>
    <w:rsid w:val="00D9156D"/>
    <w:rsid w:val="00DC166B"/>
    <w:rsid w:val="00E177DC"/>
    <w:rsid w:val="00E91219"/>
    <w:rsid w:val="00E918C4"/>
    <w:rsid w:val="00EA506F"/>
    <w:rsid w:val="00ED1CA5"/>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4C7701"/>
  <w15:chartTrackingRefBased/>
  <w15:docId w15:val="{4414CE9E-D1B8-4D19-A15A-EAB82C3BE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Bibliography">
    <w:name w:val="Bibliography"/>
    <w:basedOn w:val="Normal"/>
    <w:next w:val="Normal"/>
    <w:uiPriority w:val="37"/>
    <w:unhideWhenUsed/>
    <w:rsid w:val="00B30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418958">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612711005">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93802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Bar16</b:Tag>
    <b:SourceType>JournalArticle</b:SourceType>
    <b:Guid>{C2009F35-B98A-47F2-85DE-57EAB866253E}</b:Guid>
    <b:Author>
      <b:Author>
        <b:NameList>
          <b:Person>
            <b:Last>Bart</b:Last>
            <b:First>Ingeborg</b:First>
            <b:Middle>Y.</b:Middle>
          </b:Person>
          <b:Person>
            <b:Last>Mourits</b:Last>
            <b:First>Mariëlle</b:First>
          </b:Person>
          <b:Person>
            <b:Last>Gent</b:Last>
            <b:First>René</b:First>
            <b:Middle>van</b:Middle>
          </b:Person>
          <b:Person>
            <b:Last>Leuken</b:Last>
            <b:First>Maarten</b:First>
            <b:Middle>H. van</b:Middle>
          </b:Person>
          <b:Person>
            <b:Last>Hilbink</b:Last>
            <b:First>Mirrian</b:First>
          </b:Person>
          <b:Person>
            <b:Last>Warris</b:Last>
            <b:First>Adilia</b:First>
          </b:Person>
          <b:Person>
            <b:Last>Wever</b:Last>
            <b:First>Peter</b:First>
            <b:Middle>C.</b:Middle>
          </b:Person>
          <b:Person>
            <b:Last>Vries</b:Last>
            <b:First>Esther</b:First>
            <b:Middle>de</b:Middle>
          </b:Person>
        </b:NameList>
      </b:Author>
    </b:Author>
    <b:Title>Sputum Induction in Children Is Feasible and Useful in a Bustling General Hospital Practice</b:Title>
    <b:JournalName>Global Pediatric Health</b:JournalName>
    <b:Year>2016</b:Year>
    <b:Pages>1-4</b:Pages>
    <b:Volume>3</b:Volume>
    <b:RefOrder>1</b:RefOrder>
  </b:Source>
  <b:Source>
    <b:Tag>MMa18</b:Tag>
    <b:SourceType>JournalArticle</b:SourceType>
    <b:Guid>{26464B97-BBC2-4C86-AA8E-3808C94DDCFC}</b:Guid>
    <b:Author>
      <b:Author>
        <b:NameList>
          <b:Person>
            <b:Last>Mahendra</b:Last>
            <b:First>M</b:First>
          </b:Person>
          <b:Person>
            <b:Last>Jayaraj</b:Last>
            <b:First>BS</b:First>
          </b:Person>
          <b:Person>
            <b:Last>Lokesh</b:Last>
            <b:First>KS</b:First>
          </b:Person>
          <b:Person>
            <b:Last>Chaya</b:Last>
            <b:First>SK</b:First>
          </b:Person>
          <b:Person>
            <b:Last>Veerapaneni</b:Last>
            <b:First>Vivek</b:First>
            <b:Middle>Vardhan</b:Middle>
          </b:Person>
          <b:Person>
            <b:Last>Limaye</b:Last>
            <b:First>Sneha</b:First>
          </b:Person>
          <b:Person>
            <b:Last>Dhar</b:Last>
            <b:First>Raja</b:First>
          </b:Person>
          <b:Person>
            <b:Last>Swarnakar</b:Last>
            <b:First>Rajesh</b:First>
          </b:Person>
          <b:Person>
            <b:Last>Ambalkar</b:Last>
            <b:First>Shrikant</b:First>
          </b:Person>
          <b:Person>
            <b:Last>Mahesh</b:Last>
            <b:First>PA</b:First>
          </b:Person>
        </b:NameList>
      </b:Author>
    </b:Author>
    <b:Title>Antibiotic Prescription, Organisms and its Resistance Pattern in Patients Admitted to Respiratory ICU with Respiratory Infection in Mysuru</b:Title>
    <b:JournalName>Indian Journal of Critical Care Medicine</b:JournalName>
    <b:Year>2018</b:Year>
    <b:Pages>223-30</b:Pages>
    <b:Volume>22</b:Volume>
    <b:RefOrder>2</b:RefOrder>
  </b:Source>
  <b:Source>
    <b:Tag>Fal12</b:Tag>
    <b:SourceType>JournalArticle</b:SourceType>
    <b:Guid>{529E9164-C4FF-4A70-94E8-38C04D1026CC}</b:Guid>
    <b:Author>
      <b:Author>
        <b:NameList>
          <b:Person>
            <b:Last>Falcone</b:Last>
            <b:First>Marco</b:First>
          </b:Person>
          <b:Person>
            <b:Last>Corrao</b:Last>
            <b:First>Salvatore</b:First>
          </b:Person>
          <b:Person>
            <b:Last>Licata</b:Last>
            <b:First>Giuseppe</b:First>
          </b:Person>
          <b:Person>
            <b:Last>Serra</b:Last>
            <b:First>Pietro</b:First>
          </b:Person>
          <b:Person>
            <b:Last>Venditti</b:Last>
            <b:First>Mario</b:First>
          </b:Person>
        </b:NameList>
      </b:Author>
    </b:Author>
    <b:Title>Clinical impact of broad-spectrum empirical antibiotic therapy in patients with healthcare-associated pneumonia: a multicenter interventional study</b:Title>
    <b:JournalName>Internal and Emergency Medicine</b:JournalName>
    <b:Year>2012</b:Year>
    <b:Pages>7:523-531</b:Pages>
    <b:DOI>10.1007/s11739-012-0795-8</b:DOI>
    <b:RefOrder>3</b:RefOrder>
  </b:Source>
  <b:Source>
    <b:Tag>Dah15</b:Tag>
    <b:SourceType>JournalArticle</b:SourceType>
    <b:Guid>{A2B9B666-38A8-4FCE-B6BE-07D6EADC974E}</b:Guid>
    <b:Author>
      <b:Author>
        <b:NameList>
          <b:Person>
            <b:Last>Dahal</b:Last>
            <b:First>Santosh</b:First>
          </b:Person>
          <b:Person>
            <b:Last>Rijal</b:Last>
            <b:First>Basista</b:First>
            <b:Middle>Prasad</b:Middle>
          </b:Person>
          <b:Person>
            <b:Last>Yogi</b:Last>
            <b:First>Karbir</b:First>
            <b:Middle>Nath</b:Middle>
          </b:Person>
          <b:Person>
            <b:Last>Sherchand</b:Last>
            <b:First>Jeevan</b:First>
            <b:Middle>Bahadur</b:Middle>
          </b:Person>
          <b:Person>
            <b:Last>Parajuli</b:Last>
            <b:First>Keshab</b:First>
          </b:Person>
          <b:Person>
            <b:Last>Parajuli</b:Last>
            <b:First>Narayan</b:First>
          </b:Person>
          <b:Person>
            <b:Last>Pokhrel</b:Last>
            <b:First>Bharat</b:First>
            <b:Middle>Mani</b:Middle>
          </b:Person>
        </b:NameList>
      </b:Author>
    </b:Author>
    <b:Title>Inadequate Empirical Antibiotic Therapy in Hospital Acquired Pneumonia</b:Title>
    <b:JournalName>Journal of the Nepal Medical Association</b:JournalName>
    <b:Year>2015</b:Year>
    <b:Pages>240-3</b:Pages>
    <b:Month>Oct-Dec</b:Month>
    <b:Volume>53</b:Volume>
    <b:Issue>4</b:Issue>
    <b:RefOrder>4</b:RefOrder>
  </b:Source>
  <b:Source>
    <b:Tag>Mon18</b:Tag>
    <b:SourceType>JournalArticle</b:SourceType>
    <b:Guid>{AE9BAC6D-BAAA-4CDC-A60B-4655FC10EA24}</b:Guid>
    <b:Author>
      <b:Author>
        <b:NameList>
          <b:Person>
            <b:Last>Mostaghim</b:Last>
            <b:First>Mona</b:First>
          </b:Person>
          <b:Person>
            <b:Last>Snelling</b:Last>
            <b:First>Tom</b:First>
          </b:Person>
          <b:Person>
            <b:Last>McMullan</b:Last>
            <b:First>Brendan</b:First>
          </b:Person>
          <b:Person>
            <b:Last>Ewe</b:Last>
            <b:First>Yean</b:First>
            <b:Middle>H</b:Middle>
          </b:Person>
          <b:Person>
            <b:Last>Bajorek</b:Last>
            <b:First>Beata</b:First>
          </b:Person>
        </b:NameList>
      </b:Author>
    </b:Author>
    <b:Title>Impact of clinical decision support on empirical antibiotic prescribing for children with community-acquired pneumonia</b:Title>
    <b:JournalName>Journal of Paediatric and Child Health</b:JournalName>
    <b:Year>2018</b:Year>
    <b:Pages>1-7</b:Pages>
    <b:RefOrder>5</b:RefOrder>
  </b:Source>
</b:Sources>
</file>

<file path=customXml/itemProps1.xml><?xml version="1.0" encoding="utf-8"?>
<ds:datastoreItem xmlns:ds="http://schemas.openxmlformats.org/officeDocument/2006/customXml" ds:itemID="{076E9E4B-2221-40C8-80D9-BDB36CF2C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4051</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Brian Light</cp:lastModifiedBy>
  <cp:revision>8</cp:revision>
  <dcterms:created xsi:type="dcterms:W3CDTF">2018-10-24T16:38:00Z</dcterms:created>
  <dcterms:modified xsi:type="dcterms:W3CDTF">2018-10-24T19:40:00Z</dcterms:modified>
</cp:coreProperties>
</file>