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DFE" w:rsidRDefault="007E001E" w:rsidP="007E001E">
      <w:pPr>
        <w:rPr>
          <w:b/>
          <w:szCs w:val="20"/>
        </w:rPr>
      </w:pPr>
      <w:r>
        <w:rPr>
          <w:b/>
          <w:szCs w:val="20"/>
        </w:rPr>
        <w:t xml:space="preserve">Abstract </w:t>
      </w:r>
    </w:p>
    <w:p w:rsidR="007E001E" w:rsidRDefault="007E001E" w:rsidP="007E001E">
      <w:pPr>
        <w:rPr>
          <w:b/>
          <w:szCs w:val="20"/>
        </w:rPr>
      </w:pPr>
      <w:r>
        <w:rPr>
          <w:b/>
          <w:szCs w:val="20"/>
        </w:rPr>
        <w:t>Cultivating Resilience</w:t>
      </w:r>
      <w:r w:rsidR="008D2546">
        <w:rPr>
          <w:b/>
          <w:szCs w:val="20"/>
        </w:rPr>
        <w:t xml:space="preserve"> a Nursing Leadership Initiative Impacting Work Engagement</w:t>
      </w:r>
    </w:p>
    <w:p w:rsidR="007E001E" w:rsidRPr="00243DFE" w:rsidRDefault="007E001E" w:rsidP="007E001E">
      <w:pPr>
        <w:rPr>
          <w:b/>
          <w:sz w:val="24"/>
          <w:lang w:val="en-US"/>
        </w:rPr>
      </w:pPr>
      <w:r w:rsidRPr="00243DFE">
        <w:rPr>
          <w:b/>
          <w:sz w:val="24"/>
        </w:rPr>
        <w:t>Background/Problem</w:t>
      </w:r>
    </w:p>
    <w:p w:rsidR="007E001E" w:rsidRPr="00243DFE" w:rsidRDefault="007E001E" w:rsidP="007E001E">
      <w:pPr>
        <w:ind w:firstLine="720"/>
        <w:jc w:val="both"/>
        <w:rPr>
          <w:strike/>
          <w:sz w:val="24"/>
          <w:lang w:val="it-IT" w:eastAsia="it-IT"/>
        </w:rPr>
      </w:pPr>
      <w:r w:rsidRPr="00243DFE">
        <w:rPr>
          <w:sz w:val="24"/>
          <w:lang w:val="it-IT" w:eastAsia="it-IT"/>
        </w:rPr>
        <w:t xml:space="preserve">Recent traumatic events associated with natural disasters and terrorism have showcased nurses’ critical role in the frontline. Nurses take care of victims of violence and tragedy while dealing with  their own personal vulnerability. </w:t>
      </w:r>
    </w:p>
    <w:p w:rsidR="007E001E" w:rsidRPr="00243DFE" w:rsidRDefault="007E001E" w:rsidP="007E001E">
      <w:pPr>
        <w:rPr>
          <w:rFonts w:eastAsia="Calibri"/>
          <w:b/>
          <w:sz w:val="24"/>
          <w:lang w:val="en-US"/>
        </w:rPr>
      </w:pPr>
    </w:p>
    <w:p w:rsidR="007E001E" w:rsidRPr="00243DFE" w:rsidRDefault="007E001E" w:rsidP="007E001E">
      <w:pPr>
        <w:rPr>
          <w:b/>
          <w:color w:val="000000"/>
          <w:sz w:val="24"/>
        </w:rPr>
      </w:pPr>
      <w:r w:rsidRPr="00243DFE">
        <w:rPr>
          <w:b/>
          <w:color w:val="000000"/>
          <w:sz w:val="24"/>
        </w:rPr>
        <w:t>Literature Review</w:t>
      </w:r>
    </w:p>
    <w:p w:rsidR="007E001E" w:rsidRPr="00243DFE" w:rsidRDefault="007E001E" w:rsidP="007E001E">
      <w:pPr>
        <w:rPr>
          <w:color w:val="000000"/>
          <w:sz w:val="24"/>
        </w:rPr>
      </w:pPr>
      <w:r w:rsidRPr="00243DFE">
        <w:rPr>
          <w:color w:val="000000"/>
          <w:sz w:val="24"/>
        </w:rPr>
        <w:t>Nursing has been a focus for studies and interventions that foster resilience in the workplace. A review of literature on resilience studies have shown its relevance in clinical settings correlating the level of professional competence (Gillespie, et al 2007) and work engagement (Othman, et al, 2013; Jackson et al., 2007).  The benefit of resilience training programs to reduce burn-out and PTSD are much needed in a highly stressful work environment (Mealer, Jones &amp; Moss, 2012).</w:t>
      </w:r>
    </w:p>
    <w:p w:rsidR="007E001E" w:rsidRPr="00243DFE" w:rsidRDefault="007E001E" w:rsidP="007E001E">
      <w:pPr>
        <w:pStyle w:val="NormalWeb"/>
        <w:rPr>
          <w:b/>
          <w:color w:val="000000"/>
        </w:rPr>
      </w:pPr>
      <w:r w:rsidRPr="00243DFE">
        <w:rPr>
          <w:b/>
          <w:color w:val="000000"/>
        </w:rPr>
        <w:t>Purpose/Methodology</w:t>
      </w:r>
    </w:p>
    <w:p w:rsidR="007E001E" w:rsidRPr="00243DFE" w:rsidRDefault="007E001E" w:rsidP="007E001E">
      <w:pPr>
        <w:pStyle w:val="NormalWeb"/>
        <w:rPr>
          <w:color w:val="000000"/>
        </w:rPr>
      </w:pPr>
      <w:r w:rsidRPr="00243DFE">
        <w:rPr>
          <w:color w:val="000000"/>
        </w:rPr>
        <w:t>A survey of professio</w:t>
      </w:r>
      <w:r w:rsidR="008D2546">
        <w:rPr>
          <w:color w:val="000000"/>
        </w:rPr>
        <w:t>nal nursing participants in 2017</w:t>
      </w:r>
      <w:bookmarkStart w:id="0" w:name="_GoBack"/>
      <w:bookmarkEnd w:id="0"/>
      <w:r w:rsidRPr="00243DFE">
        <w:rPr>
          <w:color w:val="000000"/>
        </w:rPr>
        <w:t xml:space="preserve"> was conducted to determine resilience using The Resilience Scale (14-item tool with reliability ranging from 0.84-0.94 alpha coefficients) and demographic questionnaire were used to collect data at national conferences in the US. Based on the inclusion/exclusion criteria a total of 150 surveys were eligible. The purpose of the study: is there a relationship between sociodemographic variables such as age, race, gender, educational background and area of practice in relationship to nurses’ resilience score and their perception of resilience? What are the variables, traits and characteristics that can aid in the development of interventions to fortify resilience, increase engagement, job satisfaction and workplace retention? </w:t>
      </w:r>
    </w:p>
    <w:p w:rsidR="007E001E" w:rsidRPr="00243DFE" w:rsidRDefault="007E001E" w:rsidP="007E001E">
      <w:pPr>
        <w:rPr>
          <w:b/>
          <w:color w:val="44546A"/>
          <w:kern w:val="24"/>
          <w:sz w:val="24"/>
        </w:rPr>
      </w:pPr>
      <w:r w:rsidRPr="00243DFE">
        <w:rPr>
          <w:b/>
          <w:color w:val="44546A"/>
          <w:kern w:val="24"/>
          <w:sz w:val="24"/>
        </w:rPr>
        <w:t>Result</w:t>
      </w:r>
    </w:p>
    <w:p w:rsidR="007E001E" w:rsidRPr="00243DFE" w:rsidRDefault="007E001E" w:rsidP="007E001E">
      <w:pPr>
        <w:spacing w:before="100" w:beforeAutospacing="1" w:after="100" w:afterAutospacing="1"/>
        <w:rPr>
          <w:sz w:val="24"/>
        </w:rPr>
      </w:pPr>
      <w:r w:rsidRPr="00243DFE">
        <w:rPr>
          <w:sz w:val="24"/>
        </w:rPr>
        <w:t>Responses determined resilience score based on frequency distribution showed a mean score of 83.20 (</w:t>
      </w:r>
      <w:r w:rsidRPr="00243DFE">
        <w:rPr>
          <w:i/>
          <w:sz w:val="24"/>
        </w:rPr>
        <w:t>SD</w:t>
      </w:r>
      <w:r w:rsidRPr="00243DFE">
        <w:rPr>
          <w:sz w:val="24"/>
        </w:rPr>
        <w:t>=16.14). Initial factor analysis indicates that “acceptance of self and life” and “personal competence” reflects the theoretical definition of resilience (</w:t>
      </w:r>
      <w:proofErr w:type="spellStart"/>
      <w:r w:rsidRPr="00243DFE">
        <w:rPr>
          <w:sz w:val="24"/>
        </w:rPr>
        <w:t>Wagnild</w:t>
      </w:r>
      <w:proofErr w:type="spellEnd"/>
      <w:r w:rsidRPr="00243DFE">
        <w:rPr>
          <w:sz w:val="24"/>
        </w:rPr>
        <w:t xml:space="preserve"> and Young, 1993). The scale’s construct validity positively correlates with optimism, morale, self-efficacy, self-reported health, health promoting behaviours, forgiveness, self-esteem, sense of coherence, effective coping, and life-satisfaction. Inversely, the construct is related with depression, stress and anxiety, hopelessness, loneliness somatization, and healthcare visits.</w:t>
      </w:r>
    </w:p>
    <w:p w:rsidR="007E001E" w:rsidRPr="00243DFE" w:rsidRDefault="007E001E" w:rsidP="007E001E">
      <w:pPr>
        <w:rPr>
          <w:color w:val="44546A"/>
          <w:kern w:val="24"/>
          <w:sz w:val="24"/>
        </w:rPr>
      </w:pPr>
    </w:p>
    <w:p w:rsidR="007E001E" w:rsidRPr="00243DFE" w:rsidRDefault="007E001E" w:rsidP="007E001E">
      <w:pPr>
        <w:rPr>
          <w:b/>
          <w:color w:val="000000" w:themeColor="text1"/>
          <w:kern w:val="24"/>
          <w:sz w:val="24"/>
        </w:rPr>
      </w:pPr>
      <w:r w:rsidRPr="00243DFE">
        <w:rPr>
          <w:b/>
          <w:color w:val="000000" w:themeColor="text1"/>
          <w:kern w:val="24"/>
          <w:sz w:val="24"/>
        </w:rPr>
        <w:t>Recommendation</w:t>
      </w:r>
    </w:p>
    <w:p w:rsidR="007E001E" w:rsidRPr="00243DFE" w:rsidRDefault="007E001E" w:rsidP="007E001E">
      <w:pPr>
        <w:rPr>
          <w:color w:val="000000" w:themeColor="text1"/>
          <w:sz w:val="24"/>
        </w:rPr>
      </w:pPr>
      <w:r w:rsidRPr="00243DFE">
        <w:rPr>
          <w:color w:val="000000" w:themeColor="text1"/>
          <w:kern w:val="24"/>
          <w:sz w:val="24"/>
        </w:rPr>
        <w:t>Nurse leaders and managers can use resilience as a theoretical framework in creating and planning staff development programs addressing nurses’ satisfaction, dynamic workplace environments, challenges with recruitment and retention and developing a resilient workforce.</w:t>
      </w:r>
    </w:p>
    <w:p w:rsidR="007E001E" w:rsidRPr="00243DFE" w:rsidRDefault="007E001E" w:rsidP="007E001E">
      <w:pPr>
        <w:rPr>
          <w:color w:val="000000" w:themeColor="text1"/>
          <w:kern w:val="24"/>
          <w:sz w:val="24"/>
        </w:rPr>
      </w:pPr>
    </w:p>
    <w:p w:rsidR="007E001E" w:rsidRPr="00243DFE" w:rsidRDefault="007E001E" w:rsidP="007E001E">
      <w:pPr>
        <w:rPr>
          <w:b/>
          <w:color w:val="000000" w:themeColor="text1"/>
          <w:kern w:val="24"/>
          <w:sz w:val="24"/>
        </w:rPr>
      </w:pPr>
      <w:r w:rsidRPr="00243DFE">
        <w:rPr>
          <w:b/>
          <w:color w:val="000000" w:themeColor="text1"/>
          <w:kern w:val="24"/>
          <w:sz w:val="24"/>
        </w:rPr>
        <w:t>Conclusion</w:t>
      </w:r>
    </w:p>
    <w:p w:rsidR="007E001E" w:rsidRPr="00243DFE" w:rsidRDefault="007E001E" w:rsidP="007E001E">
      <w:pPr>
        <w:rPr>
          <w:color w:val="000000" w:themeColor="text1"/>
          <w:kern w:val="24"/>
          <w:szCs w:val="20"/>
        </w:rPr>
      </w:pPr>
      <w:r w:rsidRPr="00243DFE">
        <w:rPr>
          <w:color w:val="000000" w:themeColor="text1"/>
          <w:kern w:val="24"/>
          <w:sz w:val="24"/>
        </w:rPr>
        <w:t>Resilience building encompasses seasoned and novice nurses.  Both can address the real and perceived difficulties, offer mutual support to cope with daily challenges of known and unknown risks encountered at work.</w:t>
      </w:r>
      <w:r w:rsidRPr="00243DFE">
        <w:rPr>
          <w:color w:val="000000" w:themeColor="text1"/>
          <w:sz w:val="24"/>
        </w:rPr>
        <w:t xml:space="preserve"> </w:t>
      </w:r>
      <w:r w:rsidRPr="00243DFE">
        <w:rPr>
          <w:color w:val="000000" w:themeColor="text1"/>
          <w:kern w:val="24"/>
          <w:sz w:val="24"/>
        </w:rPr>
        <w:t xml:space="preserve">Resilience offers hope to nurses in their daily lives as they </w:t>
      </w:r>
      <w:r w:rsidRPr="00243DFE">
        <w:rPr>
          <w:color w:val="000000" w:themeColor="text1"/>
          <w:kern w:val="24"/>
          <w:sz w:val="24"/>
        </w:rPr>
        <w:lastRenderedPageBreak/>
        <w:t>continuously increase protective factors, adjust to daily adversities and find success and meaning in their personal and professional journey</w:t>
      </w:r>
      <w:r w:rsidRPr="00243DFE">
        <w:rPr>
          <w:color w:val="000000" w:themeColor="text1"/>
          <w:kern w:val="24"/>
          <w:szCs w:val="20"/>
        </w:rPr>
        <w:t>.</w:t>
      </w:r>
    </w:p>
    <w:p w:rsidR="00243DFE" w:rsidRDefault="00243DFE" w:rsidP="007E001E">
      <w:pPr>
        <w:rPr>
          <w:color w:val="44546A"/>
          <w:kern w:val="24"/>
          <w:szCs w:val="20"/>
        </w:rPr>
      </w:pPr>
    </w:p>
    <w:p w:rsidR="00243DFE" w:rsidRDefault="00243DFE" w:rsidP="00243DFE">
      <w:pPr>
        <w:rPr>
          <w:b/>
          <w:sz w:val="24"/>
          <w:lang w:val="en-US"/>
        </w:rPr>
      </w:pPr>
      <w:r w:rsidRPr="00F371CC">
        <w:rPr>
          <w:rFonts w:cs="Calibri"/>
          <w:b/>
          <w:sz w:val="24"/>
        </w:rPr>
        <w:t>References</w:t>
      </w:r>
    </w:p>
    <w:p w:rsidR="00243DFE" w:rsidRPr="00243DFE" w:rsidRDefault="00243DFE" w:rsidP="00243DFE">
      <w:pPr>
        <w:jc w:val="both"/>
        <w:rPr>
          <w:color w:val="000000"/>
          <w:sz w:val="24"/>
        </w:rPr>
      </w:pPr>
      <w:r w:rsidRPr="00243DFE">
        <w:rPr>
          <w:color w:val="000000"/>
          <w:sz w:val="24"/>
        </w:rPr>
        <w:t xml:space="preserve">Connor K. &amp; Davidson J. (2003). Development of a new resilience scale: The Connor Davidson Resilience Scale (CD-RISC). </w:t>
      </w:r>
      <w:r w:rsidRPr="00243DFE">
        <w:rPr>
          <w:i/>
          <w:iCs/>
          <w:color w:val="000000"/>
          <w:sz w:val="24"/>
        </w:rPr>
        <w:t>Depression and Anxiety, 18,</w:t>
      </w:r>
      <w:r w:rsidRPr="00243DFE">
        <w:rPr>
          <w:color w:val="000000"/>
          <w:sz w:val="24"/>
        </w:rPr>
        <w:t xml:space="preserve"> 76–82</w:t>
      </w:r>
    </w:p>
    <w:p w:rsidR="00772FC9" w:rsidRPr="00243DFE" w:rsidRDefault="00243DFE" w:rsidP="00243DFE">
      <w:pPr>
        <w:jc w:val="both"/>
        <w:rPr>
          <w:color w:val="000000"/>
          <w:sz w:val="24"/>
        </w:rPr>
      </w:pPr>
      <w:r w:rsidRPr="00243DFE">
        <w:rPr>
          <w:color w:val="000000"/>
          <w:sz w:val="24"/>
        </w:rPr>
        <w:t xml:space="preserve">Gillespie, B. M., </w:t>
      </w:r>
      <w:proofErr w:type="spellStart"/>
      <w:r w:rsidRPr="00243DFE">
        <w:rPr>
          <w:color w:val="000000"/>
          <w:sz w:val="24"/>
        </w:rPr>
        <w:t>Chaboyer</w:t>
      </w:r>
      <w:proofErr w:type="spellEnd"/>
      <w:r w:rsidRPr="00243DFE">
        <w:rPr>
          <w:color w:val="000000"/>
          <w:sz w:val="24"/>
        </w:rPr>
        <w:t xml:space="preserve">, W., Wallis, M., &amp; </w:t>
      </w:r>
      <w:proofErr w:type="spellStart"/>
      <w:r w:rsidRPr="00243DFE">
        <w:rPr>
          <w:color w:val="000000"/>
          <w:sz w:val="24"/>
        </w:rPr>
        <w:t>Grimbeek</w:t>
      </w:r>
      <w:proofErr w:type="spellEnd"/>
      <w:r w:rsidRPr="00243DFE">
        <w:rPr>
          <w:color w:val="000000"/>
          <w:sz w:val="24"/>
        </w:rPr>
        <w:t>, P. (2007) Resilience in the operating room:</w:t>
      </w:r>
    </w:p>
    <w:p w:rsidR="00243DFE" w:rsidRPr="00243DFE" w:rsidRDefault="00243DFE" w:rsidP="00243DFE">
      <w:pPr>
        <w:jc w:val="both"/>
        <w:rPr>
          <w:color w:val="000000"/>
          <w:sz w:val="24"/>
        </w:rPr>
      </w:pPr>
      <w:r w:rsidRPr="00243DFE">
        <w:rPr>
          <w:color w:val="000000"/>
          <w:sz w:val="24"/>
        </w:rPr>
        <w:t>Developing and testing resilience model, Journal</w:t>
      </w:r>
      <w:r w:rsidRPr="00243DFE">
        <w:rPr>
          <w:i/>
          <w:iCs/>
          <w:color w:val="000000"/>
          <w:sz w:val="24"/>
        </w:rPr>
        <w:t xml:space="preserve"> of Advanced Nursing</w:t>
      </w:r>
      <w:r w:rsidRPr="00243DFE">
        <w:rPr>
          <w:color w:val="000000"/>
          <w:sz w:val="24"/>
        </w:rPr>
        <w:t xml:space="preserve">, 59(4), </w:t>
      </w:r>
    </w:p>
    <w:p w:rsidR="00243DFE" w:rsidRPr="00243DFE" w:rsidRDefault="00243DFE" w:rsidP="00243DFE">
      <w:pPr>
        <w:jc w:val="both"/>
        <w:rPr>
          <w:color w:val="000000"/>
          <w:sz w:val="24"/>
        </w:rPr>
      </w:pPr>
    </w:p>
    <w:p w:rsidR="00243DFE" w:rsidRDefault="00243DFE" w:rsidP="00243DFE">
      <w:pPr>
        <w:pStyle w:val="NormalWeb"/>
        <w:jc w:val="both"/>
        <w:rPr>
          <w:color w:val="000000"/>
        </w:rPr>
      </w:pPr>
      <w:r w:rsidRPr="00243DFE">
        <w:rPr>
          <w:color w:val="000000"/>
        </w:rPr>
        <w:t xml:space="preserve"> Garcia-Dia, M.J., DiNapoli, J.M, Garcia-Ona, L., </w:t>
      </w:r>
      <w:proofErr w:type="spellStart"/>
      <w:r w:rsidRPr="00243DFE">
        <w:rPr>
          <w:color w:val="000000"/>
        </w:rPr>
        <w:t>Jakubowski</w:t>
      </w:r>
      <w:proofErr w:type="spellEnd"/>
      <w:r w:rsidRPr="00243DFE">
        <w:rPr>
          <w:color w:val="000000"/>
        </w:rPr>
        <w:t xml:space="preserve">, R., O’Flaherty, D.  (2013). Concept Analysis: Resilience </w:t>
      </w:r>
      <w:r w:rsidRPr="00243DFE">
        <w:rPr>
          <w:i/>
          <w:iCs/>
          <w:color w:val="000000"/>
        </w:rPr>
        <w:t>Archives of Psychiatric Nursing.</w:t>
      </w:r>
      <w:r>
        <w:rPr>
          <w:color w:val="000000"/>
        </w:rPr>
        <w:t xml:space="preserve"> 27, 264-270.</w:t>
      </w:r>
    </w:p>
    <w:p w:rsidR="00243DFE" w:rsidRDefault="00243DFE" w:rsidP="00243DFE">
      <w:pPr>
        <w:pStyle w:val="NormalWeb"/>
        <w:jc w:val="both"/>
        <w:rPr>
          <w:color w:val="000000"/>
        </w:rPr>
      </w:pPr>
      <w:r w:rsidRPr="00243DFE">
        <w:rPr>
          <w:color w:val="000000"/>
        </w:rPr>
        <w:t xml:space="preserve">Garcia-Dia, M.J., O’Flaherty, D. Nursing Concept Analysis </w:t>
      </w:r>
      <w:r w:rsidRPr="00243DFE">
        <w:rPr>
          <w:i/>
          <w:iCs/>
          <w:color w:val="000000"/>
        </w:rPr>
        <w:t>Applications to Research and Practice, Resilience a Concept Analysis</w:t>
      </w:r>
      <w:r w:rsidRPr="00243DFE">
        <w:rPr>
          <w:color w:val="000000"/>
        </w:rPr>
        <w:t xml:space="preserve"> p. 251-268, Springer Publishing Company</w:t>
      </w:r>
      <w:r w:rsidRPr="00243DFE">
        <w:rPr>
          <w:i/>
          <w:iCs/>
          <w:color w:val="000000"/>
        </w:rPr>
        <w:t xml:space="preserve"> </w:t>
      </w:r>
      <w:r>
        <w:rPr>
          <w:color w:val="000000"/>
        </w:rPr>
        <w:t>April 2016</w:t>
      </w:r>
    </w:p>
    <w:p w:rsidR="00243DFE" w:rsidRPr="00243DFE" w:rsidRDefault="00243DFE" w:rsidP="00243DFE">
      <w:pPr>
        <w:pStyle w:val="NormalWeb"/>
        <w:jc w:val="both"/>
        <w:rPr>
          <w:color w:val="000000"/>
        </w:rPr>
      </w:pPr>
      <w:r w:rsidRPr="00243DFE">
        <w:rPr>
          <w:color w:val="000000"/>
        </w:rPr>
        <w:t xml:space="preserve">DiNapoli, J.M., Garcia-Dia, M.J., O’Flaherty, D. (2014). Theory of Empowerment. </w:t>
      </w:r>
      <w:r w:rsidRPr="00243DFE">
        <w:rPr>
          <w:i/>
          <w:iCs/>
          <w:color w:val="000000"/>
        </w:rPr>
        <w:t xml:space="preserve">Theories Guiding Nursing Research and Practice: Making Nursing Knowledge Development Explicit. </w:t>
      </w:r>
      <w:r w:rsidRPr="00243DFE">
        <w:rPr>
          <w:color w:val="000000"/>
        </w:rPr>
        <w:t>p. 251-268, Springer Publishing Company.</w:t>
      </w:r>
    </w:p>
    <w:p w:rsidR="00243DFE" w:rsidRPr="00243DFE" w:rsidRDefault="00243DFE" w:rsidP="00243DFE">
      <w:pPr>
        <w:pStyle w:val="NormalWeb"/>
        <w:jc w:val="both"/>
        <w:rPr>
          <w:color w:val="000000"/>
        </w:rPr>
      </w:pPr>
      <w:r w:rsidRPr="00243DFE">
        <w:rPr>
          <w:color w:val="000000"/>
        </w:rPr>
        <w:t xml:space="preserve">DiNapoli, J, M., O’Flaherty, D., </w:t>
      </w:r>
      <w:proofErr w:type="spellStart"/>
      <w:r w:rsidRPr="00243DFE">
        <w:rPr>
          <w:color w:val="000000"/>
        </w:rPr>
        <w:t>Musil</w:t>
      </w:r>
      <w:proofErr w:type="gramStart"/>
      <w:r w:rsidRPr="00243DFE">
        <w:rPr>
          <w:color w:val="000000"/>
        </w:rPr>
        <w:t>,C</w:t>
      </w:r>
      <w:proofErr w:type="spellEnd"/>
      <w:proofErr w:type="gramEnd"/>
      <w:r w:rsidRPr="00243DFE">
        <w:rPr>
          <w:color w:val="000000"/>
        </w:rPr>
        <w:t xml:space="preserve">,. </w:t>
      </w:r>
      <w:proofErr w:type="spellStart"/>
      <w:r w:rsidRPr="00243DFE">
        <w:rPr>
          <w:color w:val="000000"/>
        </w:rPr>
        <w:t>Clavelle</w:t>
      </w:r>
      <w:proofErr w:type="spellEnd"/>
      <w:r w:rsidRPr="00243DFE">
        <w:rPr>
          <w:color w:val="000000"/>
        </w:rPr>
        <w:t xml:space="preserve">, J., Fitzpatrick, J, J. The Relationship of Clinical Nurses’ Structural Empowerment and Engagement on Their Unit </w:t>
      </w:r>
      <w:r w:rsidRPr="00243DFE">
        <w:rPr>
          <w:i/>
          <w:iCs/>
          <w:color w:val="000000"/>
        </w:rPr>
        <w:t>Journal of Nursing</w:t>
      </w:r>
      <w:r w:rsidRPr="00243DFE">
        <w:rPr>
          <w:color w:val="000000"/>
        </w:rPr>
        <w:t xml:space="preserve"> </w:t>
      </w:r>
      <w:r w:rsidRPr="00243DFE">
        <w:rPr>
          <w:i/>
          <w:iCs/>
          <w:color w:val="000000"/>
        </w:rPr>
        <w:t>Administration</w:t>
      </w:r>
      <w:r w:rsidRPr="00243DFE">
        <w:rPr>
          <w:color w:val="000000"/>
        </w:rPr>
        <w:t xml:space="preserve"> (2016)46, 2-p95-100</w:t>
      </w:r>
    </w:p>
    <w:p w:rsidR="00243DFE" w:rsidRPr="00243DFE" w:rsidRDefault="00243DFE" w:rsidP="00243DFE">
      <w:pPr>
        <w:pStyle w:val="NormalWeb"/>
        <w:jc w:val="both"/>
        <w:rPr>
          <w:color w:val="000000"/>
        </w:rPr>
      </w:pPr>
      <w:r w:rsidRPr="00243DFE">
        <w:rPr>
          <w:color w:val="000000"/>
        </w:rPr>
        <w:t xml:space="preserve">Jackson, D., </w:t>
      </w:r>
      <w:proofErr w:type="spellStart"/>
      <w:r w:rsidRPr="00243DFE">
        <w:rPr>
          <w:color w:val="000000"/>
        </w:rPr>
        <w:t>Firtko</w:t>
      </w:r>
      <w:proofErr w:type="spellEnd"/>
      <w:r w:rsidRPr="00243DFE">
        <w:rPr>
          <w:color w:val="000000"/>
        </w:rPr>
        <w:t xml:space="preserve">, A., &amp; Edenborough, M. (2007).  Personal resilience as a strategy for surviving and thriving in the face of workplace adversity: A literature review.  </w:t>
      </w:r>
      <w:r w:rsidRPr="00243DFE">
        <w:rPr>
          <w:i/>
          <w:color w:val="000000"/>
        </w:rPr>
        <w:t>Journal</w:t>
      </w:r>
      <w:r w:rsidRPr="00243DFE">
        <w:rPr>
          <w:color w:val="000000"/>
        </w:rPr>
        <w:t xml:space="preserve"> </w:t>
      </w:r>
      <w:r w:rsidRPr="00243DFE">
        <w:rPr>
          <w:i/>
          <w:iCs/>
          <w:color w:val="000000"/>
        </w:rPr>
        <w:t>of</w:t>
      </w:r>
      <w:r w:rsidRPr="00243DFE">
        <w:rPr>
          <w:color w:val="000000"/>
        </w:rPr>
        <w:t xml:space="preserve"> </w:t>
      </w:r>
      <w:r w:rsidRPr="00243DFE">
        <w:rPr>
          <w:i/>
          <w:iCs/>
          <w:color w:val="000000"/>
        </w:rPr>
        <w:t>Advanced Nursing, 60</w:t>
      </w:r>
      <w:r w:rsidRPr="00243DFE">
        <w:rPr>
          <w:color w:val="000000"/>
        </w:rPr>
        <w:t>, 1-9 427-438</w:t>
      </w:r>
      <w:proofErr w:type="gramStart"/>
      <w:r w:rsidRPr="00243DFE">
        <w:rPr>
          <w:color w:val="000000"/>
        </w:rPr>
        <w:t xml:space="preserve">  </w:t>
      </w:r>
      <w:proofErr w:type="spellStart"/>
      <w:r w:rsidRPr="00243DFE">
        <w:rPr>
          <w:color w:val="000000"/>
        </w:rPr>
        <w:t>doi</w:t>
      </w:r>
      <w:proofErr w:type="spellEnd"/>
      <w:proofErr w:type="gramEnd"/>
      <w:r w:rsidRPr="00243DFE">
        <w:rPr>
          <w:color w:val="000000"/>
        </w:rPr>
        <w:t>: 10.1111/j.1365-2648.2007.04340.x</w:t>
      </w:r>
    </w:p>
    <w:p w:rsidR="00243DFE" w:rsidRPr="00243DFE" w:rsidRDefault="00243DFE" w:rsidP="00243DFE">
      <w:pPr>
        <w:pStyle w:val="NormalWeb"/>
        <w:jc w:val="both"/>
        <w:rPr>
          <w:color w:val="000000"/>
        </w:rPr>
      </w:pPr>
      <w:r w:rsidRPr="00243DFE">
        <w:rPr>
          <w:color w:val="000000"/>
        </w:rPr>
        <w:t xml:space="preserve">Othman, N., </w:t>
      </w:r>
      <w:proofErr w:type="spellStart"/>
      <w:r w:rsidRPr="00243DFE">
        <w:rPr>
          <w:color w:val="000000"/>
        </w:rPr>
        <w:t>Ghazali</w:t>
      </w:r>
      <w:proofErr w:type="spellEnd"/>
      <w:r w:rsidRPr="00243DFE">
        <w:rPr>
          <w:color w:val="000000"/>
        </w:rPr>
        <w:t xml:space="preserve">, Z., and Ahmad, S. (2013).  Resilience and work engagement: A stitch to nursing care quality.  </w:t>
      </w:r>
      <w:r w:rsidRPr="00243DFE">
        <w:rPr>
          <w:i/>
          <w:iCs/>
          <w:color w:val="000000"/>
        </w:rPr>
        <w:t>Journal of Global Management</w:t>
      </w:r>
      <w:r w:rsidRPr="00243DFE">
        <w:rPr>
          <w:color w:val="000000"/>
        </w:rPr>
        <w:t>, 6(1), 40-48.</w:t>
      </w:r>
    </w:p>
    <w:p w:rsidR="00243DFE" w:rsidRPr="00243DFE" w:rsidRDefault="00243DFE" w:rsidP="00243DFE">
      <w:pPr>
        <w:pStyle w:val="NormalWeb"/>
        <w:jc w:val="both"/>
        <w:rPr>
          <w:color w:val="000000"/>
        </w:rPr>
      </w:pPr>
      <w:proofErr w:type="spellStart"/>
      <w:r w:rsidRPr="00243DFE">
        <w:rPr>
          <w:color w:val="000000"/>
        </w:rPr>
        <w:t>Mealer</w:t>
      </w:r>
      <w:proofErr w:type="spellEnd"/>
      <w:r w:rsidRPr="00243DFE">
        <w:rPr>
          <w:color w:val="000000"/>
        </w:rPr>
        <w:t xml:space="preserve">, M., Jones, J., &amp; Moss, M. (2012). A qualitative study of resilience and posttraumatic stress disorder in the United States ICU nurses.  </w:t>
      </w:r>
      <w:r w:rsidRPr="00243DFE">
        <w:rPr>
          <w:i/>
          <w:iCs/>
          <w:color w:val="000000"/>
        </w:rPr>
        <w:t>Intensive Care Med</w:t>
      </w:r>
      <w:r w:rsidRPr="00243DFE">
        <w:rPr>
          <w:color w:val="000000"/>
        </w:rPr>
        <w:t>, 38, 1445-1451. DOI 10.1007/s00134-012-2600-6</w:t>
      </w:r>
    </w:p>
    <w:p w:rsidR="00243DFE" w:rsidRPr="00243DFE" w:rsidRDefault="00243DFE" w:rsidP="00243DFE">
      <w:pPr>
        <w:pStyle w:val="NormalWeb"/>
        <w:jc w:val="both"/>
        <w:rPr>
          <w:color w:val="000000"/>
        </w:rPr>
      </w:pPr>
      <w:r w:rsidRPr="00243DFE">
        <w:rPr>
          <w:color w:val="000000"/>
        </w:rPr>
        <w:t xml:space="preserve">Walker, L. O., &amp; Avant, K. C. (2011). </w:t>
      </w:r>
      <w:r w:rsidRPr="00243DFE">
        <w:rPr>
          <w:i/>
          <w:iCs/>
          <w:color w:val="000000"/>
        </w:rPr>
        <w:t>Strategies for theory construction in nursing</w:t>
      </w:r>
      <w:r w:rsidRPr="00243DFE">
        <w:rPr>
          <w:color w:val="000000"/>
        </w:rPr>
        <w:t xml:space="preserve"> (5th </w:t>
      </w:r>
      <w:proofErr w:type="gramStart"/>
      <w:r w:rsidRPr="00243DFE">
        <w:rPr>
          <w:color w:val="000000"/>
        </w:rPr>
        <w:t>ed</w:t>
      </w:r>
      <w:proofErr w:type="gramEnd"/>
      <w:r w:rsidRPr="00243DFE">
        <w:rPr>
          <w:color w:val="000000"/>
        </w:rPr>
        <w:t xml:space="preserve">.).  Upper Saddle River, NJ: Prentice Hall. </w:t>
      </w:r>
    </w:p>
    <w:p w:rsidR="00243DFE" w:rsidRPr="00243DFE" w:rsidRDefault="00243DFE" w:rsidP="00243DFE">
      <w:pPr>
        <w:pStyle w:val="NormalWeb"/>
        <w:jc w:val="both"/>
        <w:rPr>
          <w:color w:val="000000"/>
        </w:rPr>
      </w:pPr>
      <w:r w:rsidRPr="00243DFE">
        <w:rPr>
          <w:color w:val="000000"/>
        </w:rPr>
        <w:t xml:space="preserve"> Werner and Smith (1992). </w:t>
      </w:r>
      <w:r w:rsidRPr="00243DFE">
        <w:rPr>
          <w:i/>
          <w:iCs/>
          <w:color w:val="000000"/>
        </w:rPr>
        <w:t xml:space="preserve">Overcoming the odds: High risk children from birth to adulthood </w:t>
      </w:r>
      <w:r w:rsidRPr="00243DFE">
        <w:rPr>
          <w:color w:val="000000"/>
        </w:rPr>
        <w:t>Ithaca, NY: Cornell University Sage Press.</w:t>
      </w:r>
    </w:p>
    <w:p w:rsidR="00243DFE" w:rsidRPr="00243DFE" w:rsidRDefault="00243DFE" w:rsidP="00243DFE">
      <w:pPr>
        <w:pStyle w:val="NormalWeb"/>
        <w:jc w:val="both"/>
        <w:rPr>
          <w:color w:val="000000"/>
        </w:rPr>
      </w:pPr>
      <w:r w:rsidRPr="00243DFE">
        <w:rPr>
          <w:color w:val="000000"/>
        </w:rPr>
        <w:t> </w:t>
      </w:r>
      <w:proofErr w:type="spellStart"/>
      <w:r w:rsidRPr="00243DFE">
        <w:rPr>
          <w:color w:val="000000"/>
        </w:rPr>
        <w:t>Windle</w:t>
      </w:r>
      <w:proofErr w:type="spellEnd"/>
      <w:r w:rsidRPr="00243DFE">
        <w:rPr>
          <w:color w:val="000000"/>
        </w:rPr>
        <w:t xml:space="preserve">, G. (2011). What is resilience? A review and concept analysis. </w:t>
      </w:r>
      <w:r w:rsidRPr="00243DFE">
        <w:rPr>
          <w:i/>
          <w:iCs/>
          <w:color w:val="000000"/>
        </w:rPr>
        <w:t>Reviews in Clinical Gerontology</w:t>
      </w:r>
      <w:r w:rsidRPr="00243DFE">
        <w:rPr>
          <w:color w:val="000000"/>
        </w:rPr>
        <w:t xml:space="preserve">, </w:t>
      </w:r>
      <w:r w:rsidRPr="00243DFE">
        <w:rPr>
          <w:i/>
          <w:iCs/>
          <w:color w:val="000000"/>
        </w:rPr>
        <w:t>21 (2),</w:t>
      </w:r>
      <w:r w:rsidRPr="00243DFE">
        <w:rPr>
          <w:color w:val="000000"/>
        </w:rPr>
        <w:t xml:space="preserve"> 152-69.</w:t>
      </w:r>
    </w:p>
    <w:p w:rsidR="00243DFE" w:rsidRPr="00243DFE" w:rsidRDefault="00243DFE" w:rsidP="00243DFE">
      <w:pPr>
        <w:pStyle w:val="NormalWeb"/>
        <w:rPr>
          <w:color w:val="000000"/>
        </w:rPr>
      </w:pPr>
      <w:proofErr w:type="spellStart"/>
      <w:r w:rsidRPr="00243DFE">
        <w:rPr>
          <w:color w:val="000000"/>
        </w:rPr>
        <w:lastRenderedPageBreak/>
        <w:t>Windle</w:t>
      </w:r>
      <w:proofErr w:type="spellEnd"/>
      <w:r w:rsidRPr="00243DFE">
        <w:rPr>
          <w:color w:val="000000"/>
        </w:rPr>
        <w:t xml:space="preserve">, G., Bennett, K. M., &amp; Noyes, J. (2011). A methodological review of resilience measurement scales. </w:t>
      </w:r>
      <w:r w:rsidRPr="00243DFE">
        <w:rPr>
          <w:i/>
          <w:iCs/>
          <w:color w:val="000000"/>
        </w:rPr>
        <w:t>Health Quality Life Outcomes, 9(8),</w:t>
      </w:r>
      <w:r w:rsidRPr="00243DFE">
        <w:rPr>
          <w:color w:val="000000"/>
        </w:rPr>
        <w:t xml:space="preserve"> 2–18, </w:t>
      </w:r>
      <w:hyperlink r:id="rId6" w:history="1">
        <w:r w:rsidRPr="00243DFE">
          <w:rPr>
            <w:rStyle w:val="Hyperlink"/>
          </w:rPr>
          <w:t>http://dx.doi.org/</w:t>
        </w:r>
      </w:hyperlink>
      <w:r w:rsidRPr="00243DFE">
        <w:rPr>
          <w:color w:val="000000"/>
        </w:rPr>
        <w:t>10.1186/1477-7525-9-8.</w:t>
      </w:r>
    </w:p>
    <w:p w:rsidR="00243DFE" w:rsidRPr="00243DFE" w:rsidRDefault="00243DFE" w:rsidP="00243DFE">
      <w:pPr>
        <w:pStyle w:val="NormalWeb"/>
        <w:rPr>
          <w:color w:val="000000"/>
        </w:rPr>
      </w:pPr>
      <w:proofErr w:type="spellStart"/>
      <w:r w:rsidRPr="00243DFE">
        <w:rPr>
          <w:color w:val="000000"/>
        </w:rPr>
        <w:t>Zeidner</w:t>
      </w:r>
      <w:proofErr w:type="spellEnd"/>
      <w:r w:rsidRPr="00243DFE">
        <w:rPr>
          <w:color w:val="000000"/>
        </w:rPr>
        <w:t xml:space="preserve">, M., &amp; </w:t>
      </w:r>
      <w:proofErr w:type="spellStart"/>
      <w:r w:rsidRPr="00243DFE">
        <w:rPr>
          <w:color w:val="000000"/>
        </w:rPr>
        <w:t>Endler</w:t>
      </w:r>
      <w:proofErr w:type="spellEnd"/>
      <w:r w:rsidRPr="00243DFE">
        <w:rPr>
          <w:color w:val="000000"/>
        </w:rPr>
        <w:t>, N. S., (1996). Handbook</w:t>
      </w:r>
      <w:r w:rsidRPr="00243DFE">
        <w:rPr>
          <w:i/>
          <w:iCs/>
          <w:color w:val="000000"/>
        </w:rPr>
        <w:t xml:space="preserve"> of Coping: Theory, Research, Applications. </w:t>
      </w:r>
      <w:r w:rsidRPr="00243DFE">
        <w:rPr>
          <w:color w:val="000000"/>
        </w:rPr>
        <w:t>New York: Wiley.</w:t>
      </w:r>
    </w:p>
    <w:sectPr w:rsidR="00243DFE" w:rsidRPr="00243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27D35"/>
    <w:multiLevelType w:val="hybridMultilevel"/>
    <w:tmpl w:val="4CB2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1E"/>
    <w:rsid w:val="00243DFE"/>
    <w:rsid w:val="00462507"/>
    <w:rsid w:val="004B06CB"/>
    <w:rsid w:val="006D4B97"/>
    <w:rsid w:val="007E001E"/>
    <w:rsid w:val="00827A43"/>
    <w:rsid w:val="008D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31B9F-138C-4456-A6AE-7F35991E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01E"/>
    <w:pPr>
      <w:spacing w:after="0" w:line="240" w:lineRule="auto"/>
    </w:pPr>
    <w:rPr>
      <w:rFonts w:ascii="Times New Roman" w:eastAsia="Times New Roman" w:hAnsi="Times New Roman" w:cs="Times New Roman"/>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001E"/>
    <w:pPr>
      <w:spacing w:before="100" w:beforeAutospacing="1" w:after="100" w:afterAutospacing="1"/>
    </w:pPr>
    <w:rPr>
      <w:sz w:val="24"/>
      <w:lang w:val="en-US"/>
    </w:rPr>
  </w:style>
  <w:style w:type="character" w:styleId="Hyperlink">
    <w:name w:val="Hyperlink"/>
    <w:uiPriority w:val="99"/>
    <w:unhideWhenUsed/>
    <w:rsid w:val="00243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x.doi.org/10.1186/1477-7525-9-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11F06-72D7-4686-89A2-EE05D66B0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Northwell Health</Company>
  <LinksUpToDate>false</LinksUpToDate>
  <CharactersWithSpaces>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O'Flaherty, Deirdre</dc:creator>
  <cp:keywords/>
  <dc:description/>
  <cp:lastModifiedBy>O'Flaherty, Deirdre</cp:lastModifiedBy>
  <cp:revision>2</cp:revision>
  <dcterms:created xsi:type="dcterms:W3CDTF">2018-10-04T22:22:00Z</dcterms:created>
  <dcterms:modified xsi:type="dcterms:W3CDTF">2018-10-04T22:22:00Z</dcterms:modified>
</cp:coreProperties>
</file>