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Text"/>
        <w:rPr>
          <w:rStyle w:val="None"/>
          <w:rFonts w:ascii="Times New Roman" w:cs="Times New Roman" w:hAnsi="Times New Roman" w:eastAsia="Times New Roman"/>
          <w:sz w:val="20"/>
          <w:szCs w:val="20"/>
        </w:rPr>
      </w:pPr>
    </w:p>
    <w:p>
      <w:pPr>
        <w:pStyle w:val="Heading"/>
        <w:spacing w:before="170"/>
      </w:pPr>
      <w:r>
        <w:rPr>
          <w:rStyle w:val="None"/>
          <w:color w:val="337ab7"/>
          <w:u w:color="337ab7"/>
          <w:rtl w:val="0"/>
          <w:lang w:val="en-US"/>
        </w:rPr>
        <w:t xml:space="preserve">ANTI-CANCER PREPARATION NSC 631570 (UKRAIN) AND ITS EFFICACY IN THE TREATMENT OF </w:t>
      </w:r>
      <w:r>
        <w:rPr>
          <w:rStyle w:val="None"/>
          <w:color w:val="337ab7"/>
          <w:u w:color="337ab7"/>
          <w:rtl w:val="0"/>
          <w:lang w:val="en-US"/>
        </w:rPr>
        <w:t xml:space="preserve">BREAST </w:t>
      </w:r>
      <w:r>
        <w:rPr>
          <w:rStyle w:val="None"/>
          <w:color w:val="337ab7"/>
          <w:u w:color="337ab7"/>
          <w:rtl w:val="0"/>
          <w:lang w:val="de-DE"/>
        </w:rPr>
        <w:t>CANCER</w:t>
      </w:r>
    </w:p>
    <w:p>
      <w:pPr>
        <w:pStyle w:val="Body Text"/>
        <w:spacing w:before="73" w:line="198" w:lineRule="exact"/>
        <w:ind w:left="100" w:right="5967" w:firstLine="0"/>
      </w:pPr>
    </w:p>
    <w:p>
      <w:pPr>
        <w:pStyle w:val="Body Text"/>
        <w:spacing w:before="73" w:line="198" w:lineRule="exact"/>
        <w:ind w:left="100" w:right="5967" w:firstLine="0"/>
        <w:rPr>
          <w:rStyle w:val="None"/>
          <w:sz w:val="20"/>
          <w:szCs w:val="20"/>
        </w:rPr>
      </w:pPr>
      <w:r>
        <w:rPr>
          <w:rStyle w:val="None"/>
          <w:sz w:val="20"/>
          <w:szCs w:val="20"/>
          <w:rtl w:val="0"/>
          <w:lang w:val="en-US"/>
        </w:rPr>
        <w:t xml:space="preserve">Dr. Wassil Nowicky </w:t>
      </w:r>
      <w:r>
        <w:rPr>
          <w:rStyle w:val="None"/>
          <w:sz w:val="20"/>
          <w:szCs w:val="20"/>
          <w:rtl w:val="0"/>
          <w:lang w:val="en-US"/>
        </w:rPr>
        <w:t>“</w:t>
      </w:r>
      <w:r>
        <w:rPr>
          <w:rStyle w:val="None"/>
          <w:sz w:val="20"/>
          <w:szCs w:val="20"/>
          <w:rtl w:val="0"/>
          <w:lang w:val="en-US"/>
        </w:rPr>
        <w:t>Nowicky Pharma</w:t>
      </w:r>
      <w:r>
        <w:rPr>
          <w:rStyle w:val="None"/>
          <w:sz w:val="20"/>
          <w:szCs w:val="20"/>
          <w:rtl w:val="0"/>
          <w:lang w:val="en-US"/>
        </w:rPr>
        <w:t xml:space="preserve">” </w:t>
      </w:r>
    </w:p>
    <w:p>
      <w:pPr>
        <w:pStyle w:val="Body Text"/>
        <w:spacing w:before="73" w:line="198" w:lineRule="exact"/>
        <w:ind w:left="100" w:right="5967" w:firstLine="0"/>
        <w:rPr>
          <w:rStyle w:val="None"/>
          <w:rFonts w:ascii="Arial" w:cs="Arial" w:hAnsi="Arial" w:eastAsia="Arial"/>
        </w:rPr>
      </w:pPr>
      <w:r>
        <w:rPr>
          <w:rStyle w:val="None"/>
          <w:sz w:val="20"/>
          <w:szCs w:val="20"/>
          <w:rtl w:val="0"/>
          <w:lang w:val="en-US"/>
        </w:rPr>
        <w:t>Ukrainian Anti-Cancer Institute, Margareten Street 7, A-1040, Vienna, Austria</w:t>
      </w:r>
    </w:p>
    <w:p>
      <w:pPr>
        <w:pStyle w:val="Body Text"/>
        <w:rPr>
          <w:rStyle w:val="None"/>
          <w:rFonts w:ascii="Arial" w:cs="Arial" w:hAnsi="Arial" w:eastAsia="Arial"/>
          <w:sz w:val="20"/>
          <w:szCs w:val="20"/>
        </w:rPr>
      </w:pPr>
    </w:p>
    <w:p>
      <w:pPr>
        <w:pStyle w:val="Body Text"/>
        <w:spacing w:before="3"/>
        <w:rPr>
          <w:rStyle w:val="None"/>
          <w:rFonts w:ascii="Arial" w:cs="Arial" w:hAnsi="Arial" w:eastAsia="Arial"/>
          <w:sz w:val="21"/>
          <w:szCs w:val="21"/>
        </w:rPr>
      </w:pPr>
    </w:p>
    <w:p>
      <w:pPr>
        <w:pStyle w:val="Body"/>
        <w:sectPr>
          <w:headerReference w:type="default" r:id="rId4"/>
          <w:footerReference w:type="default" r:id="rId5"/>
          <w:pgSz w:w="11920" w:h="16840" w:orient="portrait"/>
          <w:pgMar w:top="1740" w:right="600" w:bottom="840" w:left="620" w:header="541" w:footer="642"/>
          <w:bidi w:val="0"/>
        </w:sectPr>
      </w:pPr>
    </w:p>
    <w:p>
      <w:pPr>
        <w:pStyle w:val="Heading 3"/>
        <w:spacing w:before="147"/>
        <w:jc w:val="both"/>
      </w:pPr>
      <w:r>
        <w:rPr>
          <w:rStyle w:val="None"/>
          <w:color w:val="bf5a14"/>
          <w:u w:color="bf5a14"/>
          <w:rtl w:val="0"/>
          <w:lang w:val="de-DE"/>
        </w:rPr>
        <w:t>Abstract</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200"/>
        <w:jc w:val="both"/>
        <w:rPr>
          <w:rStyle w:val="None"/>
          <w:rFonts w:ascii="Calibri" w:cs="Calibri" w:hAnsi="Calibri" w:eastAsia="Calibri"/>
          <w:sz w:val="20"/>
          <w:szCs w:val="20"/>
          <w:lang w:val="en-US"/>
        </w:rPr>
      </w:pPr>
      <w:r>
        <w:rPr>
          <w:rStyle w:val="None"/>
          <w:rFonts w:ascii="Calibri" w:cs="Calibri" w:hAnsi="Calibri" w:eastAsia="Calibri"/>
          <w:sz w:val="20"/>
          <w:szCs w:val="20"/>
          <w:rtl w:val="0"/>
          <w:lang w:val="en-US"/>
        </w:rPr>
        <w:t xml:space="preserve">The researchers who conducted studies with the anticancer preparation NSC 631570 concluded: </w:t>
      </w:r>
      <w:r>
        <w:rPr>
          <w:rStyle w:val="None"/>
          <w:rFonts w:ascii="Calibri" w:cs="Calibri" w:hAnsi="Calibri" w:eastAsia="Calibri"/>
          <w:sz w:val="20"/>
          <w:szCs w:val="20"/>
          <w:rtl w:val="0"/>
          <w:lang w:val="en-US"/>
        </w:rPr>
        <w:t>“</w:t>
      </w:r>
      <w:r>
        <w:rPr>
          <w:rStyle w:val="None"/>
          <w:rFonts w:ascii="Calibri" w:cs="Calibri" w:hAnsi="Calibri" w:eastAsia="Calibri"/>
          <w:sz w:val="20"/>
          <w:szCs w:val="20"/>
          <w:rtl w:val="0"/>
          <w:lang w:val="en-US"/>
        </w:rPr>
        <w:t>The anticancer drug NSC 631570 exerts its cytotoxic effects on both mouse and human breast cancer cell lines in a dose and time dependent manner. Weeks following NSC 631570 treatment, cells maintained a reduced capacity to proliferate.</w:t>
      </w:r>
      <w:r>
        <w:rPr>
          <w:rStyle w:val="None"/>
          <w:rFonts w:ascii="Calibri" w:cs="Calibri" w:hAnsi="Calibri" w:eastAsia="Calibri"/>
          <w:sz w:val="20"/>
          <w:szCs w:val="20"/>
          <w:rtl w:val="0"/>
          <w:lang w:val="en-US"/>
        </w:rPr>
        <w:t xml:space="preserve">” </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200"/>
        <w:jc w:val="both"/>
        <w:rPr>
          <w:rStyle w:val="None"/>
          <w:rFonts w:ascii="Calibri" w:cs="Calibri" w:hAnsi="Calibri" w:eastAsia="Calibri"/>
          <w:sz w:val="20"/>
          <w:szCs w:val="20"/>
          <w:lang w:val="en-US"/>
        </w:rPr>
      </w:pPr>
      <w:r>
        <w:rPr>
          <w:rStyle w:val="None"/>
          <w:rFonts w:ascii="Calibri" w:cs="Calibri" w:hAnsi="Calibri" w:eastAsia="Calibri"/>
          <w:sz w:val="20"/>
          <w:szCs w:val="20"/>
          <w:rtl w:val="0"/>
          <w:lang w:val="en-US"/>
        </w:rPr>
        <w:t xml:space="preserve">In a controlled clinical study conducted at the University Grodno (Grodno, Belarus), after the therapy with NSC-631570 the hardening of the tumor, a slight increase in the tumor size (5-10%) and proliferation of connective tissues were observed. The tumours appeared harder and slightly enlarged after NSC-631570 therapy, and were easier to detect by ultrasound or radiological examination. Metastatic lymph nodes were also hardened and sclerotic (fibrous). Tumours and metastatic lymph nodes were clearly demarcated from healthy tissue and therefore easier to remove. Complications such as prolonged lymphorrhoea (leakage of lymph onto the skin surface), skin necrosis (death of skin tissue), suppuration of the wound, and pneumonia, all occurred in patients from the two NSC-631570 groups at only half the rate that they appeared in patients from the control group. Based on the results of this study the scientists from Grodno recommended the use of NSC-631570, at the higher dosage, in all breast cancer operations. Other parameters were also evaluated, e.g. hormones (T3, T4, cortisol, progesterone, estradiol, prolactin), immune values (lymphocytes, immune globulins, complement, phagocytic activity, morphologic and cytochemical changes), amino acids and their derivates in plasma and in the tumor tissue. </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200"/>
        <w:jc w:val="both"/>
        <w:rPr>
          <w:rStyle w:val="None"/>
          <w:rFonts w:ascii="Calibri" w:cs="Calibri" w:hAnsi="Calibri" w:eastAsia="Calibri"/>
          <w:sz w:val="20"/>
          <w:szCs w:val="20"/>
          <w:lang w:val="en-US"/>
        </w:rPr>
      </w:pPr>
      <w:r>
        <w:rPr>
          <w:rStyle w:val="None"/>
          <w:rFonts w:ascii="Calibri" w:cs="Calibri" w:hAnsi="Calibri" w:eastAsia="Calibri"/>
          <w:sz w:val="20"/>
          <w:szCs w:val="20"/>
          <w:rtl w:val="0"/>
          <w:lang w:val="en-US"/>
        </w:rPr>
        <w:t>The effect of the NSC-631570 on the various parameters in breast cancer patients have been studied. Best results were achieved with higher dosage of NSC-631570. Almost every patient noted the improvement of the general well-being, sleep and appetite. During the surgery, the tumors as well as involved lymph nodes were presented sclerotic and well demarcated from the surrounding tissue. This alleviated the surgical removal of the tumor considerably.</w:t>
      </w:r>
      <w:r>
        <w:rPr>
          <w:rStyle w:val="None"/>
          <w:rFonts w:ascii="Calibri" w:cs="Calibri" w:hAnsi="Calibri" w:eastAsia="Calibri"/>
          <w:sz w:val="22"/>
          <w:szCs w:val="22"/>
          <w:rtl w:val="0"/>
          <w:lang w:val="en-US"/>
        </w:rPr>
        <w:t xml:space="preserve"> </w:t>
      </w:r>
      <w:r>
        <w:rPr>
          <w:rStyle w:val="None"/>
          <w:rFonts w:ascii="Calibri" w:cs="Calibri" w:hAnsi="Calibri" w:eastAsia="Calibri"/>
          <w:sz w:val="20"/>
          <w:szCs w:val="20"/>
          <w:rtl w:val="0"/>
          <w:lang w:val="en-US"/>
        </w:rPr>
        <w:t>In the tumor tissue, increased concentration of the amino acid proline was revealed indicating augmented production of connective tissue that demarcates the tumor from surrounding tissue. NSC-631570 improved also the amino acid balance of patients.</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200"/>
        <w:jc w:val="both"/>
        <w:rPr>
          <w:rStyle w:val="None"/>
          <w:rFonts w:ascii="Calibri" w:cs="Calibri" w:hAnsi="Calibri" w:eastAsia="Calibri"/>
          <w:sz w:val="20"/>
          <w:szCs w:val="20"/>
          <w:lang w:val="en-US"/>
        </w:rPr>
      </w:pPr>
      <w:r>
        <w:rPr>
          <w:rStyle w:val="None"/>
          <w:rFonts w:ascii="Calibri" w:cs="Calibri" w:hAnsi="Calibri" w:eastAsia="Calibri"/>
          <w:sz w:val="20"/>
          <w:szCs w:val="20"/>
          <w:rtl w:val="0"/>
          <w:lang w:val="en-US"/>
        </w:rPr>
        <w:t>NSC 631570 is the very first proton anticancer preparation and due to this after administration it   accumulates   in   tumors   very   fast   that   can   be   seen   under   the   UV-light   thanks   to its   the autofluorescence. Besides this preparation can regenerate the immune system and works as a immunomodulating agent. The selective effect of the NSC 631570 has been confirmed by 120 universities and research centers in the world.</w:t>
      </w:r>
      <w:r>
        <w:rPr>
          <w:rStyle w:val="None"/>
          <w:rFonts w:ascii="Calibri" w:cs="Calibri" w:hAnsi="Calibri" w:eastAsia="Calibri"/>
          <w:sz w:val="22"/>
          <w:szCs w:val="22"/>
          <w:rtl w:val="0"/>
          <w:lang w:val="en-US"/>
        </w:rPr>
        <w:t xml:space="preserve"> </w:t>
      </w:r>
      <w:r>
        <w:rPr>
          <w:rStyle w:val="None"/>
          <w:rFonts w:ascii="Calibri" w:cs="Calibri" w:hAnsi="Calibri" w:eastAsia="Calibri"/>
          <w:sz w:val="20"/>
          <w:szCs w:val="20"/>
          <w:rtl w:val="0"/>
          <w:lang w:val="en-US"/>
        </w:rPr>
        <w:t>Until now this preparation has been tested on over 100 cancer cell lines and on 12 normal cell lines.</w:t>
      </w:r>
    </w:p>
    <w:p>
      <w:pPr>
        <w:pStyle w:val="Body"/>
        <w:spacing w:before="157"/>
        <w:ind w:left="100" w:firstLine="0"/>
        <w:rPr>
          <w:rStyle w:val="None"/>
          <w:sz w:val="20"/>
          <w:szCs w:val="20"/>
          <w:lang w:val="en-US"/>
        </w:rPr>
      </w:pPr>
      <w:r>
        <w:rPr>
          <w:rStyle w:val="None"/>
          <w:rFonts w:ascii="Arial" w:hAnsi="Arial"/>
          <w:b w:val="1"/>
          <w:bCs w:val="1"/>
          <w:color w:val="bf5a14"/>
          <w:sz w:val="20"/>
          <w:szCs w:val="20"/>
          <w:u w:color="bf5a14"/>
          <w:rtl w:val="0"/>
          <w:lang w:val="fr-FR"/>
        </w:rPr>
        <w:t>Recent publications</w:t>
      </w:r>
    </w:p>
    <w:p>
      <w:pPr>
        <w:keepNext w:val="0"/>
        <w:keepLines w:val="0"/>
        <w:pageBreakBefore w:val="0"/>
        <w:widowControl w:val="1"/>
        <w:numPr>
          <w:ilvl w:val="0"/>
          <w:numId w:val="2"/>
        </w:numPr>
        <w:shd w:val="clear" w:color="auto" w:fill="ffffff"/>
        <w:suppressAutoHyphens w:val="0"/>
        <w:bidi w:val="0"/>
        <w:spacing w:before="0" w:after="12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Skivka L, Susak Y, Trompak O, Kudryavets Y, Bezdenezhnykh N, Semesiuk N, Lykhova O. The effect of monotherapy and combined therapy with NSC-631570 (Ukrain) on growth of low- and high-metastasizing B16 melanoma in mice. J Oncol Pharm Pract. 2010 Sep 3.</w:t>
      </w:r>
    </w:p>
    <w:p>
      <w:pPr>
        <w:keepNext w:val="0"/>
        <w:keepLines w:val="0"/>
        <w:pageBreakBefore w:val="0"/>
        <w:widowControl w:val="1"/>
        <w:numPr>
          <w:ilvl w:val="0"/>
          <w:numId w:val="2"/>
        </w:numPr>
        <w:shd w:val="clear" w:color="auto" w:fill="ffffff"/>
        <w:suppressAutoHyphens w:val="0"/>
        <w:bidi w:val="0"/>
        <w:spacing w:before="0" w:after="12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Funel N, Giovannetti E, Nowicky W, Pollina LE, Del Chiaro M, Nowicky B, Mosca F, Peters GJ, Campani D, Boggi U. Molecular mechanisms Molecular mechanisms underlying the synergistic interaction of the novel anticancer drug Ukrain with gemcitabine in preclinical models of pancreatic cancer. Proceedings of the 34th National Congress of the Italian Association for the Study of the Pancreas (AISP) 2010, Journal of Pancreas, 2010.</w:t>
      </w:r>
    </w:p>
    <w:p>
      <w:pPr>
        <w:keepNext w:val="0"/>
        <w:keepLines w:val="0"/>
        <w:pageBreakBefore w:val="0"/>
        <w:widowControl w:val="1"/>
        <w:numPr>
          <w:ilvl w:val="0"/>
          <w:numId w:val="2"/>
        </w:numPr>
        <w:shd w:val="clear" w:color="auto" w:fill="ffffff"/>
        <w:suppressAutoHyphens w:val="0"/>
        <w:bidi w:val="0"/>
        <w:spacing w:before="0" w:after="12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Funel N, Giovannetti E, Nowicky W, Pollina LE, Del Chiaro M, Peters GJ, Nowicky B, Mosca F, Boggi U, Campani D. Different uptake of Ukrain can explain the selective effect against pancreatic adenocarcinoma cell cultures in vitro. Proceedings of the 34th National Congress of the Italian Association for the Study of the Pancreas (AISP) 2010, Journal of Pancreas, 2010.</w:t>
      </w:r>
    </w:p>
    <w:p>
      <w:pPr>
        <w:keepNext w:val="0"/>
        <w:keepLines w:val="0"/>
        <w:pageBreakBefore w:val="0"/>
        <w:widowControl w:val="1"/>
        <w:numPr>
          <w:ilvl w:val="0"/>
          <w:numId w:val="2"/>
        </w:numPr>
        <w:shd w:val="clear" w:color="auto" w:fill="ffffff"/>
        <w:suppressAutoHyphens w:val="0"/>
        <w:bidi w:val="0"/>
        <w:spacing w:before="0" w:after="12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Funel N, Costa F, Pettinari L, Taddeo A, Sala A, Chiriva-Internati M, Cobos E, Colombo G, Milzani A, Campani D, Dalle-Donne I, Gagliano N. Ukrain Affects Pancreas Cancer Cell Phenotype in vitro by Targeting MMP-9 and Intra-/Extracellular SPARC Expression. Pancreatology 2010;10:545</w:t>
      </w:r>
      <w:r>
        <w:rPr>
          <w:rStyle w:val="None"/>
          <w:rFonts w:ascii="Arial" w:cs="Arial Unicode MS" w:hAnsi="Arial" w:eastAsia="Arial Unicode MS" w:hint="default"/>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552, Published online: October 23, 2010.</w:t>
      </w:r>
    </w:p>
    <w:p>
      <w:pPr>
        <w:keepNext w:val="0"/>
        <w:keepLines w:val="0"/>
        <w:pageBreakBefore w:val="0"/>
        <w:widowControl w:val="1"/>
        <w:numPr>
          <w:ilvl w:val="0"/>
          <w:numId w:val="2"/>
        </w:numPr>
        <w:shd w:val="clear" w:color="auto" w:fill="ffffff"/>
        <w:suppressAutoHyphens w:val="0"/>
        <w:bidi w:val="0"/>
        <w:spacing w:before="0" w:after="12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lang w:val="en-US"/>
        </w:rPr>
        <w:t>Wassil N, Bojan N, Niccola F. The Selective Effect of NSC-631570 (UKRAIN). J Tumor Med Prev. 2017; 1(5): 555575.</w:t>
      </w:r>
    </w:p>
    <w:p>
      <w:pPr>
        <w:pStyle w:val="Body"/>
        <w:spacing w:before="157"/>
        <w:ind w:left="100" w:firstLine="0"/>
        <w:rPr>
          <w:rStyle w:val="None"/>
          <w:color w:val="bf5a14"/>
          <w:u w:color="bf5a14"/>
        </w:rPr>
      </w:pPr>
    </w:p>
    <w:p>
      <w:pPr>
        <w:pStyle w:val="Body"/>
        <w:spacing w:before="92"/>
        <w:ind w:right="4234"/>
        <w:rPr>
          <w:rStyle w:val="None"/>
          <w:color w:val="bf5a14"/>
          <w:u w:color="bf5a14"/>
        </w:rPr>
      </w:pPr>
    </w:p>
    <w:p>
      <w:pPr>
        <w:pStyle w:val="Body"/>
        <w:spacing w:before="92"/>
        <w:ind w:right="4234"/>
        <w:rPr>
          <w:rStyle w:val="None"/>
          <w:color w:val="bf5a14"/>
          <w:u w:color="bf5a14"/>
        </w:rPr>
      </w:pPr>
      <w:r>
        <w:rPr>
          <w:rStyle w:val="None"/>
          <w:color w:val="bf5a14"/>
          <w:u w:color="bf5a14"/>
        </w:rPr>
        <w:drawing>
          <wp:inline distT="0" distB="0" distL="0" distR="0">
            <wp:extent cx="3462521" cy="2940397"/>
            <wp:effectExtent l="0" t="0" r="0" b="0"/>
            <wp:docPr id="1073741830" name="officeArt object" descr="Picture 2"/>
            <wp:cNvGraphicFramePr/>
            <a:graphic xmlns:a="http://schemas.openxmlformats.org/drawingml/2006/main">
              <a:graphicData uri="http://schemas.openxmlformats.org/drawingml/2006/picture">
                <pic:pic xmlns:pic="http://schemas.openxmlformats.org/drawingml/2006/picture">
                  <pic:nvPicPr>
                    <pic:cNvPr id="1073741830" name="Picture 2" descr="Picture 2"/>
                    <pic:cNvPicPr>
                      <a:picLocks noChangeAspect="1"/>
                    </pic:cNvPicPr>
                  </pic:nvPicPr>
                  <pic:blipFill>
                    <a:blip r:embed="rId6">
                      <a:extLst/>
                    </a:blip>
                    <a:stretch>
                      <a:fillRect/>
                    </a:stretch>
                  </pic:blipFill>
                  <pic:spPr>
                    <a:xfrm>
                      <a:off x="0" y="0"/>
                      <a:ext cx="3462521" cy="2940397"/>
                    </a:xfrm>
                    <a:prstGeom prst="rect">
                      <a:avLst/>
                    </a:prstGeom>
                    <a:ln w="12700" cap="flat">
                      <a:noFill/>
                      <a:miter lim="400000"/>
                    </a:ln>
                    <a:effectLst/>
                  </pic:spPr>
                </pic:pic>
              </a:graphicData>
            </a:graphic>
          </wp:inline>
        </w:drawing>
      </w:r>
    </w:p>
    <w:p>
      <w:pPr>
        <w:pStyle w:val="Body"/>
        <w:spacing w:before="92"/>
        <w:ind w:right="4234"/>
        <w:rPr>
          <w:rStyle w:val="None"/>
          <w:color w:val="bf5a14"/>
          <w:u w:color="bf5a14"/>
        </w:rPr>
      </w:pPr>
    </w:p>
    <w:p>
      <w:pPr>
        <w:pStyle w:val="Body"/>
        <w:spacing w:before="92"/>
        <w:ind w:right="4234"/>
        <w:rPr>
          <w:rStyle w:val="None"/>
          <w:rFonts w:ascii="Arial" w:cs="Arial" w:hAnsi="Arial" w:eastAsia="Arial"/>
          <w:color w:val="bf5a14"/>
          <w:u w:color="bf5a14"/>
        </w:rPr>
      </w:pPr>
      <w:r>
        <w:rPr>
          <w:rStyle w:val="None"/>
          <w:rFonts w:ascii="Arial" w:hAnsi="Arial"/>
          <w:color w:val="bf5a14"/>
          <w:u w:color="bf5a14"/>
          <w:rtl w:val="0"/>
        </w:rPr>
        <w:t>Bio</w:t>
      </w:r>
      <w:r>
        <w:rPr>
          <w:rStyle w:val="None"/>
          <w:rFonts w:ascii="Arial" w:hAnsi="Arial"/>
          <w:color w:val="bf5a14"/>
          <w:u w:color="bf5a14"/>
          <w:rtl w:val="0"/>
          <w:lang w:val="en-US"/>
        </w:rPr>
        <w:t>:</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200"/>
        <w:jc w:val="both"/>
        <w:rPr>
          <w:rFonts w:ascii="Calibri" w:cs="Calibri" w:hAnsi="Calibri" w:eastAsia="Calibri"/>
          <w:sz w:val="22"/>
          <w:szCs w:val="22"/>
        </w:rPr>
      </w:pPr>
      <w:r>
        <w:rPr>
          <w:rStyle w:val="None"/>
          <w:rFonts w:ascii="Calibri" w:cs="Calibri" w:hAnsi="Calibri" w:eastAsia="Calibri"/>
          <w:sz w:val="20"/>
          <w:szCs w:val="20"/>
          <w:rtl w:val="0"/>
          <w:lang w:val="en-US"/>
        </w:rPr>
        <w:t xml:space="preserve">Dr. Wassil Nowicky </w:t>
      </w:r>
      <w:r>
        <w:rPr>
          <w:rStyle w:val="None"/>
          <w:rFonts w:ascii="Calibri" w:cs="Calibri" w:hAnsi="Calibri" w:eastAsia="Calibri"/>
          <w:sz w:val="20"/>
          <w:szCs w:val="20"/>
          <w:rtl w:val="0"/>
          <w:lang w:val="en-US"/>
        </w:rPr>
        <w:t xml:space="preserve">– </w:t>
      </w:r>
      <w:r>
        <w:rPr>
          <w:rStyle w:val="None"/>
          <w:rFonts w:ascii="Calibri" w:cs="Calibri" w:hAnsi="Calibri" w:eastAsia="Calibri"/>
          <w:sz w:val="20"/>
          <w:szCs w:val="20"/>
          <w:rtl w:val="0"/>
          <w:lang w:val="en-US"/>
        </w:rPr>
        <w:t xml:space="preserve">Dipl. Ing., Dr. techn., DDDr. h. c., Director of </w:t>
      </w:r>
      <w:r>
        <w:rPr>
          <w:rStyle w:val="None"/>
          <w:rFonts w:ascii="Calibri" w:cs="Calibri" w:hAnsi="Calibri" w:eastAsia="Calibri"/>
          <w:sz w:val="20"/>
          <w:szCs w:val="20"/>
          <w:rtl w:val="0"/>
          <w:lang w:val="en-US"/>
        </w:rPr>
        <w:t>“</w:t>
      </w:r>
      <w:r>
        <w:rPr>
          <w:rStyle w:val="None"/>
          <w:rFonts w:ascii="Calibri" w:cs="Calibri" w:hAnsi="Calibri" w:eastAsia="Calibri"/>
          <w:sz w:val="20"/>
          <w:szCs w:val="20"/>
          <w:rtl w:val="0"/>
          <w:lang w:val="en-US"/>
        </w:rPr>
        <w:t>Nowicky Pharma</w:t>
      </w:r>
      <w:r>
        <w:rPr>
          <w:rStyle w:val="None"/>
          <w:rFonts w:ascii="Calibri" w:cs="Calibri" w:hAnsi="Calibri" w:eastAsia="Calibri"/>
          <w:sz w:val="20"/>
          <w:szCs w:val="20"/>
          <w:rtl w:val="0"/>
          <w:lang w:val="en-US"/>
        </w:rPr>
        <w:t xml:space="preserve">” </w:t>
      </w:r>
      <w:r>
        <w:rPr>
          <w:rStyle w:val="None"/>
          <w:rFonts w:ascii="Calibri" w:cs="Calibri" w:hAnsi="Calibri" w:eastAsia="Calibri"/>
          <w:sz w:val="20"/>
          <w:szCs w:val="20"/>
          <w:rtl w:val="0"/>
          <w:lang w:val="en-US"/>
        </w:rPr>
        <w:t xml:space="preserve">and President of the Ukrainian Anti-Cancer Institute (Vienna, Austria). Has finished his study at the Radiotechnical Faculty of the Technical University of Lviv (Ukraine) with the end of 1955 with graduation to </w:t>
      </w:r>
      <w:r>
        <w:rPr>
          <w:rStyle w:val="None"/>
          <w:rFonts w:ascii="Calibri" w:cs="Calibri" w:hAnsi="Calibri" w:eastAsia="Calibri"/>
          <w:sz w:val="20"/>
          <w:szCs w:val="20"/>
          <w:rtl w:val="0"/>
          <w:lang w:val="en-US"/>
        </w:rPr>
        <w:t>“</w:t>
      </w:r>
      <w:r>
        <w:rPr>
          <w:rStyle w:val="None"/>
          <w:rFonts w:ascii="Calibri" w:cs="Calibri" w:hAnsi="Calibri" w:eastAsia="Calibri"/>
          <w:sz w:val="20"/>
          <w:szCs w:val="20"/>
          <w:rtl w:val="0"/>
          <w:lang w:val="en-US"/>
        </w:rPr>
        <w:t>Diplomingeniueur</w:t>
      </w:r>
      <w:r>
        <w:rPr>
          <w:rStyle w:val="None"/>
          <w:rFonts w:ascii="Calibri" w:cs="Calibri" w:hAnsi="Calibri" w:eastAsia="Calibri"/>
          <w:sz w:val="20"/>
          <w:szCs w:val="20"/>
          <w:rtl w:val="0"/>
          <w:lang w:val="en-US"/>
        </w:rPr>
        <w:t xml:space="preserve">” </w:t>
      </w:r>
      <w:r>
        <w:rPr>
          <w:rStyle w:val="None"/>
          <w:rFonts w:ascii="Calibri" w:cs="Calibri" w:hAnsi="Calibri" w:eastAsia="Calibri"/>
          <w:sz w:val="20"/>
          <w:szCs w:val="20"/>
          <w:rtl w:val="0"/>
          <w:lang w:val="en-US"/>
        </w:rPr>
        <w:t xml:space="preserve">in 1960 which title was nostrificated in Austria in 1975. Inventor of the anticancer preparation on basis of celandine alkaloids </w:t>
      </w:r>
      <w:r>
        <w:rPr>
          <w:rStyle w:val="None"/>
          <w:rFonts w:ascii="Calibri" w:cs="Calibri" w:hAnsi="Calibri" w:eastAsia="Calibri"/>
          <w:sz w:val="20"/>
          <w:szCs w:val="20"/>
          <w:rtl w:val="0"/>
          <w:lang w:val="en-US"/>
        </w:rPr>
        <w:t>“</w:t>
      </w:r>
      <w:r>
        <w:rPr>
          <w:rStyle w:val="None"/>
          <w:rFonts w:ascii="Calibri" w:cs="Calibri" w:hAnsi="Calibri" w:eastAsia="Calibri"/>
          <w:sz w:val="20"/>
          <w:szCs w:val="20"/>
          <w:rtl w:val="0"/>
          <w:lang w:val="en-US"/>
        </w:rPr>
        <w:t>NSC-631570</w:t>
      </w:r>
      <w:r>
        <w:rPr>
          <w:rStyle w:val="None"/>
          <w:rFonts w:ascii="Calibri" w:cs="Calibri" w:hAnsi="Calibri" w:eastAsia="Calibri"/>
          <w:sz w:val="20"/>
          <w:szCs w:val="20"/>
          <w:rtl w:val="0"/>
          <w:lang w:val="en-US"/>
        </w:rPr>
        <w:t>”</w:t>
      </w:r>
      <w:r>
        <w:rPr>
          <w:rStyle w:val="None"/>
          <w:rFonts w:ascii="Calibri" w:cs="Calibri" w:hAnsi="Calibri" w:eastAsia="Calibri"/>
          <w:sz w:val="20"/>
          <w:szCs w:val="20"/>
          <w:rtl w:val="0"/>
          <w:lang w:val="en-US"/>
        </w:rPr>
        <w:t xml:space="preserve">. Author of over 300 scientific articles dedicated to cancer research. Dr. Wassil Nowicky is a real member of the New York Academy of Sciences, member of the European Union for applied immunology and of the American Association for scientific progress, honorary doctor of the Janka Kupala University in Hrodno, doctor </w:t>
      </w:r>
      <w:r>
        <w:rPr>
          <w:rStyle w:val="None"/>
          <w:rFonts w:ascii="Calibri" w:cs="Calibri" w:hAnsi="Calibri" w:eastAsia="Calibri"/>
          <w:sz w:val="20"/>
          <w:szCs w:val="20"/>
          <w:rtl w:val="0"/>
          <w:lang w:val="en-US"/>
        </w:rPr>
        <w:t>“</w:t>
      </w:r>
      <w:r>
        <w:rPr>
          <w:rStyle w:val="None"/>
          <w:rFonts w:ascii="Calibri" w:cs="Calibri" w:hAnsi="Calibri" w:eastAsia="Calibri"/>
          <w:sz w:val="20"/>
          <w:szCs w:val="20"/>
          <w:rtl w:val="0"/>
          <w:lang w:val="en-US"/>
        </w:rPr>
        <w:t>honoris causa</w:t>
      </w:r>
      <w:r>
        <w:rPr>
          <w:rStyle w:val="None"/>
          <w:rFonts w:ascii="Calibri" w:cs="Calibri" w:hAnsi="Calibri" w:eastAsia="Calibri"/>
          <w:sz w:val="20"/>
          <w:szCs w:val="20"/>
          <w:rtl w:val="0"/>
          <w:lang w:val="en-US"/>
        </w:rPr>
        <w:t xml:space="preserve">” </w:t>
      </w:r>
      <w:r>
        <w:rPr>
          <w:rStyle w:val="None"/>
          <w:rFonts w:ascii="Calibri" w:cs="Calibri" w:hAnsi="Calibri" w:eastAsia="Calibri"/>
          <w:sz w:val="20"/>
          <w:szCs w:val="20"/>
          <w:rtl w:val="0"/>
          <w:lang w:val="en-US"/>
        </w:rPr>
        <w:t>of the Open international university on complex medicine in Colombo, honorary member of the Austrian Society of a name od Albert Schweizer. He has received the award for merits of National guild of pharmasists of America, the award of Austrian Society of sanitary, hygiene and public health services and others.</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200"/>
        <w:jc w:val="both"/>
        <w:rPr>
          <w:rStyle w:val="None"/>
          <w:rFonts w:ascii="Calibri" w:cs="Calibri" w:hAnsi="Calibri" w:eastAsia="Calibri"/>
          <w:sz w:val="20"/>
          <w:szCs w:val="20"/>
          <w:lang w:val="en-US"/>
        </w:rPr>
      </w:pPr>
      <w:r>
        <w:rPr>
          <w:rStyle w:val="None"/>
          <w:rFonts w:ascii="Calibri" w:cs="Calibri" w:hAnsi="Calibri" w:eastAsia="Calibri"/>
          <w:sz w:val="20"/>
          <w:szCs w:val="20"/>
          <w:rtl w:val="0"/>
          <w:lang w:val="en-US"/>
        </w:rPr>
        <w:t>Presenting author details</w:t>
      </w:r>
      <w:r>
        <w:rPr>
          <w:rStyle w:val="None"/>
          <w:rFonts w:ascii="Calibri" w:cs="Calibri" w:hAnsi="Calibri" w:eastAsia="Calibri"/>
          <w:sz w:val="20"/>
          <w:szCs w:val="20"/>
          <w:rtl w:val="0"/>
          <w:lang w:val="en-US"/>
        </w:rPr>
        <w:t>:</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200" w:line="72" w:lineRule="auto"/>
        <w:jc w:val="both"/>
        <w:rPr>
          <w:rStyle w:val="None"/>
          <w:rFonts w:ascii="Calibri" w:cs="Calibri" w:hAnsi="Calibri" w:eastAsia="Calibri"/>
          <w:sz w:val="20"/>
          <w:szCs w:val="20"/>
          <w:lang w:val="en-US"/>
        </w:rPr>
      </w:pPr>
      <w:r>
        <w:rPr>
          <w:rStyle w:val="None"/>
          <w:rFonts w:ascii="Calibri" w:cs="Calibri" w:hAnsi="Calibri" w:eastAsia="Calibri"/>
          <w:sz w:val="20"/>
          <w:szCs w:val="20"/>
          <w:rtl w:val="0"/>
          <w:lang w:val="en-US"/>
        </w:rPr>
        <w:t>Full name: Dr. Wassil Nowicky</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200" w:line="72" w:lineRule="auto"/>
        <w:jc w:val="both"/>
        <w:rPr>
          <w:rStyle w:val="None"/>
          <w:rFonts w:ascii="Calibri" w:cs="Calibri" w:hAnsi="Calibri" w:eastAsia="Calibri"/>
          <w:sz w:val="20"/>
          <w:szCs w:val="20"/>
          <w:lang w:val="de-DE"/>
        </w:rPr>
      </w:pPr>
      <w:r>
        <w:rPr>
          <w:rStyle w:val="None"/>
          <w:rFonts w:ascii="Calibri" w:cs="Calibri" w:hAnsi="Calibri" w:eastAsia="Calibri"/>
          <w:sz w:val="20"/>
          <w:szCs w:val="20"/>
          <w:rtl w:val="0"/>
          <w:lang w:val="de-DE"/>
        </w:rPr>
        <w:t>E-mail: dr.nowicky@yahoo.de</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200" w:line="72" w:lineRule="auto"/>
        <w:jc w:val="both"/>
        <w:rPr>
          <w:rStyle w:val="None"/>
          <w:rFonts w:ascii="Calibri" w:cs="Calibri" w:hAnsi="Calibri" w:eastAsia="Calibri"/>
          <w:sz w:val="20"/>
          <w:szCs w:val="20"/>
          <w:lang w:val="en-US"/>
        </w:rPr>
      </w:pPr>
      <w:r>
        <w:rPr>
          <w:rStyle w:val="None"/>
          <w:rFonts w:ascii="Calibri" w:cs="Calibri" w:hAnsi="Calibri" w:eastAsia="Calibri"/>
          <w:sz w:val="20"/>
          <w:szCs w:val="20"/>
          <w:rtl w:val="0"/>
          <w:lang w:val="en-US"/>
        </w:rPr>
        <w:t xml:space="preserve">Website: www.ukrin.com </w:t>
      </w:r>
    </w:p>
    <w:p>
      <w:pPr>
        <w:pStyle w:val="Body Text"/>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200" w:line="72" w:lineRule="auto"/>
        <w:jc w:val="both"/>
      </w:pPr>
      <w:r>
        <w:rPr>
          <w:rStyle w:val="None"/>
          <w:rFonts w:ascii="Calibri" w:cs="Calibri" w:hAnsi="Calibri" w:eastAsia="Calibri"/>
          <w:sz w:val="20"/>
          <w:szCs w:val="20"/>
          <w:rtl w:val="0"/>
          <w:lang w:val="en-US"/>
        </w:rPr>
        <w:t>Contact number: +436644020692</w:t>
      </w:r>
    </w:p>
    <w:sectPr>
      <w:type w:val="continuous"/>
      <w:pgSz w:w="11920" w:h="16840" w:orient="portrait"/>
      <w:pgMar w:top="1740" w:right="600" w:bottom="840" w:left="620" w:header="541" w:footer="642"/>
      <w:cols w:num="2" w:equalWidth="0">
        <w:col w:w="5229" w:space="138"/>
        <w:col w:w="5353" w:space="0"/>
      </w:cols>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 w:name="Trebuchet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5283199</wp:posOffset>
              </wp:positionH>
              <wp:positionV relativeFrom="page">
                <wp:posOffset>330835</wp:posOffset>
              </wp:positionV>
              <wp:extent cx="1832611" cy="220980"/>
              <wp:effectExtent l="0" t="0" r="0" b="0"/>
              <wp:wrapNone/>
              <wp:docPr id="1073741825" name="officeArt object" descr="Text Box 5"/>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Body"/>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6"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552566"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552566"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hAnsi="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hAnsi="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shape id="_x0000_s1027" type="#_x0000_t202" style="visibility:visible;position:absolute;margin-left:35.0pt;margin-top:48.3pt;width:516.0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hAnsi="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hAnsi="Minion Pro"/>
                        <w:color w:val="ffffff"/>
                        <w:sz w:val="24"/>
                        <w:szCs w:val="24"/>
                        <w:u w:color="ffffff"/>
                        <w:rtl w:val="0"/>
                        <w:lang w:val="en-US"/>
                      </w:rPr>
                      <w:t>(June 15-16, 2016   Philadelphia, USA)</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_x0000_s1028"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3201669</wp:posOffset>
              </wp:positionH>
              <wp:positionV relativeFrom="page">
                <wp:posOffset>10147935</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_x0000_s1029" type="#_x0000_t202"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en-US"/>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hAnsi="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shape id="_x0000_s1030" type="#_x0000_t20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hAnsi="Minion Pro"/>
                        <w:color w:val="ffffff"/>
                        <w:sz w:val="16"/>
                        <w:szCs w:val="16"/>
                        <w:u w:color="ffffff"/>
                        <w:rtl w:val="0"/>
                        <w:lang w:val="da-DK"/>
                      </w:rPr>
                      <w:t>Page 40</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nothing"/>
      <w:lvlText w:val="%2."/>
      <w:lvlJc w:val="left"/>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left="851" w:hanging="13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851"/>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left="2160" w:hanging="66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851"/>
          <w:tab w:val="left" w:pos="1416"/>
          <w:tab w:val="left" w:pos="2124"/>
          <w:tab w:val="left" w:pos="3540"/>
          <w:tab w:val="left" w:pos="4248"/>
          <w:tab w:val="left" w:pos="4956"/>
          <w:tab w:val="left" w:pos="5664"/>
          <w:tab w:val="left" w:pos="6372"/>
          <w:tab w:val="left" w:pos="7080"/>
          <w:tab w:val="left" w:pos="7788"/>
          <w:tab w:val="left" w:pos="8496"/>
          <w:tab w:val="left" w:pos="9204"/>
          <w:tab w:val="left" w:pos="9912"/>
          <w:tab w:val="left" w:pos="106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851"/>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 w:val="left" w:pos="1062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851"/>
          <w:tab w:val="left" w:pos="1416"/>
          <w:tab w:val="left" w:pos="2124"/>
          <w:tab w:val="left" w:pos="2832"/>
          <w:tab w:val="left" w:pos="3540"/>
          <w:tab w:val="left" w:pos="4956"/>
          <w:tab w:val="left" w:pos="5664"/>
          <w:tab w:val="left" w:pos="6372"/>
          <w:tab w:val="left" w:pos="7080"/>
          <w:tab w:val="left" w:pos="7788"/>
          <w:tab w:val="left" w:pos="8496"/>
          <w:tab w:val="left" w:pos="9204"/>
          <w:tab w:val="left" w:pos="9912"/>
          <w:tab w:val="left" w:pos="10620"/>
        </w:tabs>
        <w:ind w:left="4320" w:hanging="66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851"/>
          <w:tab w:val="left" w:pos="1416"/>
          <w:tab w:val="left" w:pos="2124"/>
          <w:tab w:val="left" w:pos="2832"/>
          <w:tab w:val="left" w:pos="3540"/>
          <w:tab w:val="left" w:pos="4248"/>
          <w:tab w:val="left" w:pos="5664"/>
          <w:tab w:val="left" w:pos="6372"/>
          <w:tab w:val="left" w:pos="7080"/>
          <w:tab w:val="left" w:pos="7788"/>
          <w:tab w:val="left" w:pos="8496"/>
          <w:tab w:val="left" w:pos="9204"/>
          <w:tab w:val="left" w:pos="9912"/>
          <w:tab w:val="left" w:pos="1062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851"/>
          <w:tab w:val="left" w:pos="1416"/>
          <w:tab w:val="left" w:pos="2124"/>
          <w:tab w:val="left" w:pos="2832"/>
          <w:tab w:val="left" w:pos="3540"/>
          <w:tab w:val="left" w:pos="4248"/>
          <w:tab w:val="left" w:pos="4956"/>
          <w:tab w:val="left" w:pos="6372"/>
          <w:tab w:val="left" w:pos="7080"/>
          <w:tab w:val="left" w:pos="7788"/>
          <w:tab w:val="left" w:pos="8496"/>
          <w:tab w:val="left" w:pos="9204"/>
          <w:tab w:val="left" w:pos="9912"/>
          <w:tab w:val="left" w:pos="1062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851"/>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 w:val="left" w:pos="10620"/>
        </w:tabs>
        <w:ind w:left="6480" w:hanging="66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one">
    <w:name w:val="None"/>
  </w:style>
  <w:style w:type="character" w:styleId="Hyperlink.0">
    <w:name w:val="Hyperlink.0"/>
    <w:basedOn w:val="None"/>
    <w:next w:val="Hyperlink.0"/>
    <w:rPr>
      <w:rFonts w:ascii="Arial" w:cs="Arial" w:hAnsi="Arial" w:eastAsia="Arial"/>
      <w:color w:val="ffffff"/>
      <w:sz w:val="14"/>
      <w:szCs w:val="14"/>
      <w:u w:color="ffffff"/>
    </w:rPr>
  </w:style>
  <w:style w:type="paragraph" w:styleId="Heading">
    <w:name w:val="Heading"/>
    <w:next w:val="Heading"/>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Arial Unicode MS" w:hAnsi="Minion Pro" w:eastAsia="Arial Unicode MS"/>
      <w:b w:val="1"/>
      <w:bCs w:val="1"/>
      <w:i w:val="0"/>
      <w:iCs w:val="0"/>
      <w:caps w:val="0"/>
      <w:smallCaps w:val="0"/>
      <w:strike w:val="0"/>
      <w:dstrike w:val="0"/>
      <w:outline w:val="0"/>
      <w:color w:val="000000"/>
      <w:spacing w:val="0"/>
      <w:kern w:val="0"/>
      <w:position w:val="0"/>
      <w:sz w:val="36"/>
      <w:szCs w:val="36"/>
      <w:u w:val="none" w:color="000000"/>
      <w:vertAlign w:val="baseline"/>
      <w:lang w:val="en-US"/>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de-DE"/>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