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928" w:rsidRDefault="00F41928" w:rsidP="00F41928">
      <w:pPr>
        <w:pStyle w:val="NormalWeb"/>
        <w:ind w:right="-900"/>
        <w:jc w:val="center"/>
        <w:rPr>
          <w:rFonts w:asciiTheme="majorBidi" w:eastAsiaTheme="minorEastAsia" w:hAnsiTheme="majorBidi" w:cstheme="majorBidi"/>
          <w:b/>
          <w:color w:val="000000" w:themeColor="text1"/>
          <w:sz w:val="28"/>
          <w:szCs w:val="28"/>
        </w:rPr>
      </w:pPr>
      <w:r w:rsidRPr="00F41928">
        <w:rPr>
          <w:rFonts w:asciiTheme="majorBidi" w:eastAsiaTheme="minorEastAsia" w:hAnsiTheme="majorBidi" w:cstheme="majorBidi"/>
          <w:b/>
          <w:color w:val="000000" w:themeColor="text1"/>
          <w:sz w:val="28"/>
          <w:szCs w:val="28"/>
        </w:rPr>
        <w:t xml:space="preserve">Estimation the efficiency of 99 </w:t>
      </w:r>
      <w:proofErr w:type="spellStart"/>
      <w:r w:rsidRPr="00F41928">
        <w:rPr>
          <w:rFonts w:asciiTheme="majorBidi" w:eastAsiaTheme="minorEastAsia" w:hAnsiTheme="majorBidi" w:cstheme="majorBidi"/>
          <w:b/>
          <w:color w:val="000000" w:themeColor="text1"/>
          <w:sz w:val="28"/>
          <w:szCs w:val="28"/>
        </w:rPr>
        <w:t>mTc</w:t>
      </w:r>
      <w:proofErr w:type="spellEnd"/>
      <w:r w:rsidRPr="00F41928">
        <w:rPr>
          <w:rFonts w:asciiTheme="majorBidi" w:eastAsiaTheme="minorEastAsia" w:hAnsiTheme="majorBidi" w:cstheme="majorBidi"/>
          <w:b/>
          <w:color w:val="000000" w:themeColor="text1"/>
          <w:sz w:val="28"/>
          <w:szCs w:val="28"/>
        </w:rPr>
        <w:t xml:space="preserve"> DTPA scintigraphy GFR measurements with creatinine measuremen</w:t>
      </w:r>
      <w:bookmarkStart w:id="0" w:name="_GoBack"/>
      <w:bookmarkEnd w:id="0"/>
      <w:r w:rsidRPr="00F41928">
        <w:rPr>
          <w:rFonts w:asciiTheme="majorBidi" w:eastAsiaTheme="minorEastAsia" w:hAnsiTheme="majorBidi" w:cstheme="majorBidi"/>
          <w:b/>
          <w:color w:val="000000" w:themeColor="text1"/>
          <w:sz w:val="28"/>
          <w:szCs w:val="28"/>
        </w:rPr>
        <w:t>t gates in the detection of Cisplatin Nephrotoxicity</w:t>
      </w:r>
    </w:p>
    <w:p w:rsidR="007D595F" w:rsidRDefault="007D595F" w:rsidP="00522AB5">
      <w:pPr>
        <w:pStyle w:val="NormalWeb"/>
        <w:ind w:left="720" w:right="180"/>
        <w:jc w:val="center"/>
        <w:rPr>
          <w:rFonts w:asciiTheme="majorBidi" w:hAnsiTheme="majorBidi" w:cstheme="majorBidi"/>
          <w:vertAlign w:val="superscript"/>
        </w:rPr>
      </w:pPr>
      <w:r w:rsidRPr="00707EA6">
        <w:rPr>
          <w:rFonts w:asciiTheme="majorBidi" w:hAnsiTheme="majorBidi" w:cstheme="majorBidi"/>
        </w:rPr>
        <w:t xml:space="preserve">Aya Ahmed </w:t>
      </w:r>
      <w:r w:rsidR="00522AB5" w:rsidRPr="00707EA6">
        <w:rPr>
          <w:rFonts w:asciiTheme="majorBidi" w:hAnsiTheme="majorBidi" w:cstheme="majorBidi"/>
        </w:rPr>
        <w:t>Saeed</w:t>
      </w:r>
      <w:r w:rsidR="000B3C72">
        <w:rPr>
          <w:rFonts w:asciiTheme="majorBidi" w:hAnsiTheme="majorBidi" w:cstheme="majorBidi"/>
          <w:vertAlign w:val="superscript"/>
        </w:rPr>
        <w:t>1, 2</w:t>
      </w:r>
      <w:r w:rsidR="00522AB5" w:rsidRPr="00707EA6">
        <w:rPr>
          <w:rFonts w:asciiTheme="majorBidi" w:hAnsiTheme="majorBidi" w:cstheme="majorBidi"/>
        </w:rPr>
        <w:t>,</w:t>
      </w:r>
      <w:r w:rsidRPr="00707EA6">
        <w:rPr>
          <w:rFonts w:asciiTheme="majorBidi" w:hAnsiTheme="majorBidi" w:cstheme="majorBidi"/>
        </w:rPr>
        <w:t xml:space="preserve"> </w:t>
      </w:r>
      <w:r w:rsidR="00D57C3B" w:rsidRPr="00707EA6">
        <w:rPr>
          <w:rFonts w:asciiTheme="majorBidi" w:hAnsiTheme="majorBidi" w:cstheme="majorBidi"/>
        </w:rPr>
        <w:t>Mohammed A.</w:t>
      </w:r>
      <w:proofErr w:type="gramStart"/>
      <w:r w:rsidR="00D57C3B" w:rsidRPr="00707EA6">
        <w:rPr>
          <w:rFonts w:asciiTheme="majorBidi" w:hAnsiTheme="majorBidi" w:cstheme="majorBidi"/>
        </w:rPr>
        <w:t>M.Ali</w:t>
      </w:r>
      <w:proofErr w:type="gramEnd"/>
      <w:r w:rsidR="000B3C72">
        <w:rPr>
          <w:rFonts w:asciiTheme="majorBidi" w:hAnsiTheme="majorBidi" w:cstheme="majorBidi"/>
          <w:vertAlign w:val="superscript"/>
        </w:rPr>
        <w:t>1, 2</w:t>
      </w:r>
    </w:p>
    <w:p w:rsidR="000B3C72" w:rsidRDefault="000B3C72" w:rsidP="00D3288F">
      <w:pPr>
        <w:pStyle w:val="NormalWeb"/>
        <w:spacing w:before="0" w:beforeAutospacing="0" w:after="0" w:afterAutospacing="0"/>
        <w:ind w:left="720" w:right="180"/>
        <w:jc w:val="center"/>
      </w:pPr>
      <w:r>
        <w:rPr>
          <w:vertAlign w:val="superscript"/>
        </w:rPr>
        <w:t>1</w:t>
      </w:r>
      <w:r>
        <w:t>Department of Nuclear Medicine Technology, Inaya Medical College, Riyadh Saudi Arabia</w:t>
      </w:r>
    </w:p>
    <w:p w:rsidR="000B3C72" w:rsidRDefault="000B3C72" w:rsidP="000B3C72">
      <w:pPr>
        <w:pStyle w:val="NormalWeb"/>
        <w:spacing w:before="0" w:beforeAutospacing="0" w:after="0" w:afterAutospacing="0"/>
        <w:ind w:left="720" w:right="180"/>
        <w:jc w:val="center"/>
      </w:pPr>
      <w:r>
        <w:rPr>
          <w:vertAlign w:val="superscript"/>
        </w:rPr>
        <w:t>2</w:t>
      </w:r>
      <w:r>
        <w:t>College of Medical Radiological Science, Sudan University of Science and Technology, Khartoum, Sudan</w:t>
      </w:r>
    </w:p>
    <w:p w:rsidR="00B17B42" w:rsidRPr="00707EA6" w:rsidRDefault="00B17B42" w:rsidP="00707EA6">
      <w:pPr>
        <w:spacing w:after="0" w:line="240" w:lineRule="auto"/>
        <w:jc w:val="lowKashida"/>
        <w:rPr>
          <w:rFonts w:asciiTheme="majorBidi" w:hAnsiTheme="majorBidi" w:cstheme="majorBidi"/>
          <w:b/>
          <w:bCs/>
          <w:sz w:val="24"/>
          <w:szCs w:val="24"/>
        </w:rPr>
      </w:pPr>
      <w:r w:rsidRPr="00707EA6">
        <w:rPr>
          <w:rFonts w:asciiTheme="majorBidi" w:hAnsiTheme="majorBidi" w:cstheme="majorBidi"/>
          <w:b/>
          <w:bCs/>
          <w:sz w:val="24"/>
          <w:szCs w:val="24"/>
        </w:rPr>
        <w:t xml:space="preserve">Abstract: </w:t>
      </w:r>
    </w:p>
    <w:p w:rsidR="00833096" w:rsidRPr="000B3C72" w:rsidRDefault="00B17B42" w:rsidP="00A1277F">
      <w:pPr>
        <w:spacing w:line="240" w:lineRule="auto"/>
        <w:jc w:val="lowKashida"/>
        <w:rPr>
          <w:rFonts w:asciiTheme="majorBidi" w:hAnsiTheme="majorBidi" w:cstheme="majorBidi"/>
          <w:i/>
          <w:iCs/>
          <w:sz w:val="20"/>
          <w:szCs w:val="20"/>
        </w:rPr>
      </w:pPr>
      <w:r w:rsidRPr="000B3C72">
        <w:rPr>
          <w:rFonts w:asciiTheme="majorBidi" w:hAnsiTheme="majorBidi" w:cstheme="majorBidi"/>
          <w:i/>
          <w:iCs/>
          <w:sz w:val="20"/>
          <w:szCs w:val="20"/>
        </w:rPr>
        <w:t>Background:</w:t>
      </w:r>
      <w:r w:rsidR="00FD2C8F" w:rsidRPr="000B3C72">
        <w:rPr>
          <w:rFonts w:asciiTheme="majorBidi" w:hAnsiTheme="majorBidi" w:cstheme="majorBidi"/>
          <w:i/>
          <w:iCs/>
          <w:color w:val="333333"/>
          <w:sz w:val="20"/>
          <w:szCs w:val="20"/>
        </w:rPr>
        <w:t xml:space="preserve"> </w:t>
      </w:r>
      <w:r w:rsidR="00FD2C8F" w:rsidRPr="000B3C72">
        <w:rPr>
          <w:rFonts w:asciiTheme="majorBidi" w:hAnsiTheme="majorBidi" w:cstheme="majorBidi"/>
          <w:i/>
          <w:iCs/>
          <w:sz w:val="20"/>
          <w:szCs w:val="20"/>
        </w:rPr>
        <w:t xml:space="preserve">The therapeutic potential of cisplatin as the best anticancer treatment for solid tumor is limited by its potential nephrotoxicity. This study analyses the incidence of cisplatin induced nephrotoxicity in oncology patients through GFR estimation using 99mTc-DTPA Tc-99m renal scintigraphy. </w:t>
      </w:r>
      <w:r w:rsidR="008D13D8" w:rsidRPr="000B3C72">
        <w:rPr>
          <w:rFonts w:asciiTheme="majorBidi" w:hAnsiTheme="majorBidi" w:cstheme="majorBidi"/>
          <w:i/>
          <w:iCs/>
          <w:sz w:val="20"/>
          <w:szCs w:val="20"/>
        </w:rPr>
        <w:t xml:space="preserve"> </w:t>
      </w:r>
      <w:r w:rsidR="00FD2C8F" w:rsidRPr="000B3C72">
        <w:rPr>
          <w:rFonts w:asciiTheme="majorBidi" w:hAnsiTheme="majorBidi" w:cstheme="majorBidi"/>
          <w:i/>
          <w:iCs/>
          <w:sz w:val="20"/>
          <w:szCs w:val="20"/>
        </w:rPr>
        <w:t>(Reference method) and to compare with predicted creatinine clearance.</w:t>
      </w:r>
      <w:r w:rsidR="00522AB5" w:rsidRPr="000B3C72">
        <w:rPr>
          <w:rFonts w:asciiTheme="majorBidi" w:hAnsiTheme="majorBidi" w:cstheme="majorBidi"/>
          <w:i/>
          <w:iCs/>
          <w:sz w:val="20"/>
          <w:szCs w:val="20"/>
        </w:rPr>
        <w:t xml:space="preserve"> </w:t>
      </w:r>
      <w:r w:rsidR="00833096" w:rsidRPr="000B3C72">
        <w:rPr>
          <w:rFonts w:asciiTheme="majorBidi" w:hAnsiTheme="majorBidi" w:cstheme="majorBidi"/>
          <w:b/>
          <w:bCs/>
          <w:i/>
          <w:iCs/>
          <w:sz w:val="20"/>
          <w:szCs w:val="20"/>
        </w:rPr>
        <w:t>Methods</w:t>
      </w:r>
      <w:r w:rsidR="00833096" w:rsidRPr="000B3C72">
        <w:rPr>
          <w:rFonts w:asciiTheme="majorBidi" w:hAnsiTheme="majorBidi" w:cstheme="majorBidi"/>
          <w:i/>
          <w:iCs/>
          <w:sz w:val="20"/>
          <w:szCs w:val="20"/>
        </w:rPr>
        <w:t>:</w:t>
      </w:r>
      <w:r w:rsidR="00783924" w:rsidRPr="000B3C72">
        <w:rPr>
          <w:rFonts w:asciiTheme="majorBidi" w:hAnsiTheme="majorBidi" w:cstheme="majorBidi"/>
          <w:i/>
          <w:iCs/>
          <w:sz w:val="20"/>
          <w:szCs w:val="20"/>
        </w:rPr>
        <w:t xml:space="preserve"> </w:t>
      </w:r>
      <w:r w:rsidR="008D13D8" w:rsidRPr="000B3C72">
        <w:rPr>
          <w:rFonts w:asciiTheme="majorBidi" w:hAnsiTheme="majorBidi" w:cstheme="majorBidi"/>
          <w:i/>
          <w:iCs/>
          <w:sz w:val="20"/>
          <w:szCs w:val="20"/>
        </w:rPr>
        <w:t>The data was collected from 85 patients undergoing chemotherapy treatment, using renal scintigraphy, their mean age = 44.8±12.8 years, treated by cisplatin that was given a dose in average of 200 mg/cycle. Renal function was assessed by several methods: Glomerular filtration rate from plasma clearance of Tc99m (DTPA), predicted creatinine clearance using the serum creatinine and the serum creatinine. Renal function measured before and after cisplatin cycles.</w:t>
      </w:r>
      <w:r w:rsidR="00522AB5" w:rsidRPr="000B3C72">
        <w:rPr>
          <w:rFonts w:asciiTheme="majorBidi" w:hAnsiTheme="majorBidi" w:cstheme="majorBidi"/>
          <w:i/>
          <w:iCs/>
          <w:sz w:val="20"/>
          <w:szCs w:val="20"/>
        </w:rPr>
        <w:t xml:space="preserve"> </w:t>
      </w:r>
      <w:r w:rsidR="00783924" w:rsidRPr="000B3C72">
        <w:rPr>
          <w:rFonts w:asciiTheme="majorBidi" w:hAnsiTheme="majorBidi" w:cstheme="majorBidi"/>
          <w:b/>
          <w:bCs/>
          <w:i/>
          <w:iCs/>
          <w:sz w:val="20"/>
          <w:szCs w:val="20"/>
        </w:rPr>
        <w:t xml:space="preserve">Results: </w:t>
      </w:r>
      <w:r w:rsidR="00833096" w:rsidRPr="000B3C72">
        <w:rPr>
          <w:rFonts w:asciiTheme="majorBidi" w:hAnsiTheme="majorBidi" w:cstheme="majorBidi"/>
          <w:i/>
          <w:iCs/>
          <w:sz w:val="20"/>
          <w:szCs w:val="20"/>
        </w:rPr>
        <w:t xml:space="preserve">The result showed that there was significant difference between the GFR level and creatinine clearance before and after chemotherapy which is </w:t>
      </w:r>
      <w:r w:rsidR="00F976B2" w:rsidRPr="00F976B2">
        <w:rPr>
          <w:rFonts w:asciiTheme="majorBidi" w:hAnsiTheme="majorBidi" w:cstheme="majorBidi"/>
          <w:i/>
          <w:iCs/>
          <w:sz w:val="20"/>
          <w:szCs w:val="20"/>
        </w:rPr>
        <w:t xml:space="preserve">9.8 ml/min/cycle for GFR using Tc99m (DTPA) and for Creatinine clearance it was 3.6 ml/min/cycle. </w:t>
      </w:r>
      <w:r w:rsidR="005A209D" w:rsidRPr="00A1277F">
        <w:rPr>
          <w:rFonts w:asciiTheme="majorBidi" w:hAnsiTheme="majorBidi" w:cstheme="majorBidi"/>
          <w:b/>
          <w:bCs/>
          <w:i/>
          <w:iCs/>
          <w:sz w:val="20"/>
          <w:szCs w:val="20"/>
        </w:rPr>
        <w:t>Conclusions</w:t>
      </w:r>
      <w:r w:rsidR="005A209D" w:rsidRPr="000B3C72">
        <w:rPr>
          <w:rFonts w:asciiTheme="majorBidi" w:hAnsiTheme="majorBidi" w:cstheme="majorBidi"/>
          <w:i/>
          <w:iCs/>
          <w:sz w:val="20"/>
          <w:szCs w:val="20"/>
        </w:rPr>
        <w:t xml:space="preserve">: In the conclusion the </w:t>
      </w:r>
      <w:r w:rsidR="00A1277F" w:rsidRPr="00A1277F">
        <w:rPr>
          <w:rFonts w:asciiTheme="majorBidi" w:hAnsiTheme="majorBidi" w:cstheme="majorBidi"/>
          <w:i/>
          <w:iCs/>
          <w:sz w:val="20"/>
          <w:szCs w:val="20"/>
        </w:rPr>
        <w:t>Cisplatin</w:t>
      </w:r>
      <w:r w:rsidR="005A209D" w:rsidRPr="000B3C72">
        <w:rPr>
          <w:rFonts w:asciiTheme="majorBidi" w:hAnsiTheme="majorBidi" w:cstheme="majorBidi"/>
          <w:i/>
          <w:iCs/>
          <w:sz w:val="20"/>
          <w:szCs w:val="20"/>
        </w:rPr>
        <w:t xml:space="preserve"> produced an early nephrotoxicity which was manifested by a significant decline in GFR in each cycle. Tc-99m </w:t>
      </w:r>
      <w:r w:rsidR="00A1277F">
        <w:rPr>
          <w:rFonts w:asciiTheme="majorBidi" w:hAnsiTheme="majorBidi" w:cstheme="majorBidi"/>
          <w:i/>
          <w:iCs/>
          <w:sz w:val="20"/>
          <w:szCs w:val="20"/>
        </w:rPr>
        <w:t>DTPA</w:t>
      </w:r>
      <w:r w:rsidR="005A209D" w:rsidRPr="000B3C72">
        <w:rPr>
          <w:rFonts w:asciiTheme="majorBidi" w:hAnsiTheme="majorBidi" w:cstheme="majorBidi"/>
          <w:i/>
          <w:iCs/>
          <w:sz w:val="20"/>
          <w:szCs w:val="20"/>
        </w:rPr>
        <w:t xml:space="preserve"> method for GFR estimation should be used periodically for the early detection of nephrotoxicity induced by </w:t>
      </w:r>
      <w:r w:rsidR="00A1277F" w:rsidRPr="00A1277F">
        <w:rPr>
          <w:rFonts w:asciiTheme="majorBidi" w:hAnsiTheme="majorBidi" w:cstheme="majorBidi"/>
          <w:i/>
          <w:iCs/>
          <w:sz w:val="20"/>
          <w:szCs w:val="20"/>
        </w:rPr>
        <w:t>Cisplatin</w:t>
      </w:r>
      <w:r w:rsidR="005A209D" w:rsidRPr="000B3C72">
        <w:rPr>
          <w:rFonts w:asciiTheme="majorBidi" w:hAnsiTheme="majorBidi" w:cstheme="majorBidi"/>
          <w:i/>
          <w:iCs/>
          <w:sz w:val="20"/>
          <w:szCs w:val="20"/>
        </w:rPr>
        <w:t>.</w:t>
      </w:r>
    </w:p>
    <w:p w:rsidR="00D32BDE" w:rsidRPr="00707EA6" w:rsidRDefault="008E081B" w:rsidP="00522AB5">
      <w:pPr>
        <w:spacing w:line="240" w:lineRule="auto"/>
        <w:jc w:val="lowKashida"/>
        <w:rPr>
          <w:rFonts w:asciiTheme="majorBidi" w:hAnsiTheme="majorBidi" w:cstheme="majorBidi"/>
          <w:sz w:val="24"/>
          <w:szCs w:val="24"/>
        </w:rPr>
      </w:pPr>
      <w:r w:rsidRPr="00707EA6">
        <w:rPr>
          <w:rFonts w:asciiTheme="majorBidi" w:hAnsiTheme="majorBidi" w:cstheme="majorBidi"/>
          <w:sz w:val="24"/>
          <w:szCs w:val="24"/>
        </w:rPr>
        <w:t xml:space="preserve">  </w:t>
      </w:r>
      <w:r w:rsidR="00752573" w:rsidRPr="00707EA6">
        <w:rPr>
          <w:rFonts w:asciiTheme="majorBidi" w:hAnsiTheme="majorBidi" w:cstheme="majorBidi"/>
          <w:b/>
          <w:sz w:val="24"/>
          <w:szCs w:val="24"/>
        </w:rPr>
        <w:t>Keywords</w:t>
      </w:r>
      <w:r w:rsidRPr="00707EA6">
        <w:rPr>
          <w:rFonts w:asciiTheme="majorBidi" w:hAnsiTheme="majorBidi" w:cstheme="majorBidi"/>
          <w:b/>
          <w:sz w:val="24"/>
          <w:szCs w:val="24"/>
        </w:rPr>
        <w:t>:</w:t>
      </w:r>
      <w:r w:rsidRPr="00707EA6">
        <w:rPr>
          <w:rFonts w:asciiTheme="majorBidi" w:hAnsiTheme="majorBidi" w:cstheme="majorBidi"/>
          <w:sz w:val="24"/>
          <w:szCs w:val="24"/>
        </w:rPr>
        <w:t xml:space="preserve"> </w:t>
      </w:r>
      <w:r w:rsidR="00522AB5">
        <w:rPr>
          <w:rFonts w:asciiTheme="majorBidi" w:hAnsiTheme="majorBidi" w:cstheme="majorBidi"/>
          <w:sz w:val="24"/>
          <w:szCs w:val="24"/>
        </w:rPr>
        <w:t>C</w:t>
      </w:r>
      <w:r w:rsidR="00522AB5" w:rsidRPr="00707EA6">
        <w:rPr>
          <w:rFonts w:asciiTheme="majorBidi" w:hAnsiTheme="majorBidi" w:cstheme="majorBidi"/>
          <w:sz w:val="24"/>
          <w:szCs w:val="24"/>
        </w:rPr>
        <w:t>isplatin,</w:t>
      </w:r>
      <w:r w:rsidRPr="00707EA6">
        <w:rPr>
          <w:rFonts w:asciiTheme="majorBidi" w:hAnsiTheme="majorBidi" w:cstheme="majorBidi"/>
          <w:sz w:val="24"/>
          <w:szCs w:val="24"/>
        </w:rPr>
        <w:t xml:space="preserve"> GFR, </w:t>
      </w:r>
      <w:r w:rsidR="00522AB5">
        <w:rPr>
          <w:rFonts w:asciiTheme="majorBidi" w:hAnsiTheme="majorBidi" w:cstheme="majorBidi"/>
          <w:bCs/>
          <w:iCs/>
          <w:sz w:val="24"/>
          <w:szCs w:val="24"/>
        </w:rPr>
        <w:t>C</w:t>
      </w:r>
      <w:r w:rsidRPr="00707EA6">
        <w:rPr>
          <w:rFonts w:asciiTheme="majorBidi" w:hAnsiTheme="majorBidi" w:cstheme="majorBidi"/>
          <w:bCs/>
          <w:iCs/>
          <w:sz w:val="24"/>
          <w:szCs w:val="24"/>
        </w:rPr>
        <w:t>reatinine clearance,</w:t>
      </w:r>
      <w:r w:rsidR="00752573" w:rsidRPr="00707EA6">
        <w:rPr>
          <w:rFonts w:asciiTheme="majorBidi" w:hAnsiTheme="majorBidi" w:cstheme="majorBidi"/>
          <w:bCs/>
          <w:iCs/>
          <w:sz w:val="24"/>
          <w:szCs w:val="24"/>
        </w:rPr>
        <w:t xml:space="preserve"> </w:t>
      </w:r>
      <w:r w:rsidR="00752573" w:rsidRPr="00707EA6">
        <w:rPr>
          <w:rFonts w:asciiTheme="majorBidi" w:hAnsiTheme="majorBidi" w:cstheme="majorBidi"/>
          <w:sz w:val="24"/>
          <w:szCs w:val="24"/>
        </w:rPr>
        <w:t>Tc99m DTPA,</w:t>
      </w:r>
      <w:r w:rsidR="00752573" w:rsidRPr="00707EA6">
        <w:rPr>
          <w:rFonts w:asciiTheme="majorBidi" w:hAnsiTheme="majorBidi" w:cstheme="majorBidi"/>
          <w:bCs/>
          <w:iCs/>
          <w:sz w:val="24"/>
          <w:szCs w:val="24"/>
        </w:rPr>
        <w:t xml:space="preserve"> </w:t>
      </w:r>
      <w:r w:rsidR="00522AB5">
        <w:rPr>
          <w:rFonts w:asciiTheme="majorBidi" w:hAnsiTheme="majorBidi" w:cstheme="majorBidi"/>
          <w:bCs/>
          <w:iCs/>
          <w:sz w:val="24"/>
          <w:szCs w:val="24"/>
        </w:rPr>
        <w:t>N</w:t>
      </w:r>
      <w:r w:rsidRPr="00707EA6">
        <w:rPr>
          <w:rFonts w:asciiTheme="majorBidi" w:hAnsiTheme="majorBidi" w:cstheme="majorBidi"/>
          <w:bCs/>
          <w:iCs/>
          <w:sz w:val="24"/>
          <w:szCs w:val="24"/>
        </w:rPr>
        <w:t>ephrotoxicity</w:t>
      </w:r>
      <w:r w:rsidR="00752573" w:rsidRPr="00707EA6">
        <w:rPr>
          <w:rFonts w:asciiTheme="majorBidi" w:hAnsiTheme="majorBidi" w:cstheme="majorBidi"/>
          <w:bCs/>
          <w:iCs/>
          <w:sz w:val="24"/>
          <w:szCs w:val="24"/>
        </w:rPr>
        <w:t>.</w:t>
      </w:r>
    </w:p>
    <w:p w:rsidR="00EA14CE" w:rsidRPr="00707EA6" w:rsidRDefault="00B53E62" w:rsidP="007E0358">
      <w:pPr>
        <w:pStyle w:val="NormalWeb"/>
        <w:numPr>
          <w:ilvl w:val="0"/>
          <w:numId w:val="7"/>
        </w:numPr>
        <w:shd w:val="clear" w:color="auto" w:fill="FFFFFF"/>
        <w:spacing w:before="0" w:beforeAutospacing="0" w:after="144" w:afterAutospacing="0"/>
        <w:jc w:val="lowKashida"/>
        <w:rPr>
          <w:rFonts w:asciiTheme="majorBidi" w:hAnsiTheme="majorBidi" w:cstheme="majorBidi"/>
          <w:b/>
          <w:bCs/>
        </w:rPr>
      </w:pPr>
      <w:r w:rsidRPr="00707EA6">
        <w:rPr>
          <w:rFonts w:asciiTheme="majorBidi" w:hAnsiTheme="majorBidi" w:cstheme="majorBidi"/>
          <w:b/>
          <w:bCs/>
        </w:rPr>
        <w:t>Introduction</w:t>
      </w:r>
    </w:p>
    <w:p w:rsidR="006605A6" w:rsidRDefault="00EA14CE" w:rsidP="006605A6">
      <w:pPr>
        <w:pStyle w:val="NormalWeb"/>
        <w:shd w:val="clear" w:color="auto" w:fill="FFFFFF"/>
        <w:spacing w:before="0" w:beforeAutospacing="0" w:after="144" w:afterAutospacing="0"/>
        <w:jc w:val="lowKashida"/>
        <w:rPr>
          <w:rFonts w:asciiTheme="majorBidi" w:hAnsiTheme="majorBidi" w:cstheme="majorBidi"/>
          <w:color w:val="000000"/>
        </w:rPr>
      </w:pPr>
      <w:r w:rsidRPr="00707EA6">
        <w:rPr>
          <w:rFonts w:asciiTheme="majorBidi" w:hAnsiTheme="majorBidi" w:cstheme="majorBidi"/>
          <w:color w:val="000000"/>
        </w:rPr>
        <w:t xml:space="preserve">Cisplatin, a heavy metal complex, remains a major antineoplastic drug for the treatment of solid tumors. Full therapeutic potential of cisplatin is limited by long-lasting and potentially debilitating toxicity, most notable and principal target organ for cisplatin toxicity is kidney, which evolves slowly and predictably after initial and repeated </w:t>
      </w:r>
      <w:r w:rsidR="00522AB5" w:rsidRPr="00707EA6">
        <w:rPr>
          <w:rFonts w:asciiTheme="majorBidi" w:hAnsiTheme="majorBidi" w:cstheme="majorBidi"/>
          <w:color w:val="000000"/>
        </w:rPr>
        <w:t xml:space="preserve">exposure. </w:t>
      </w:r>
      <w:r w:rsidRPr="00707EA6">
        <w:rPr>
          <w:rFonts w:asciiTheme="majorBidi" w:hAnsiTheme="majorBidi" w:cstheme="majorBidi"/>
          <w:color w:val="000000"/>
        </w:rPr>
        <w:t>This toxicity is manifested by reduced renal function and leads to serum-electrolyte and pathological changes in the urine analysis</w:t>
      </w:r>
      <w:r w:rsidR="000B3C72">
        <w:rPr>
          <w:rFonts w:asciiTheme="majorBidi" w:hAnsiTheme="majorBidi" w:cstheme="majorBidi"/>
          <w:color w:val="000000"/>
        </w:rPr>
        <w:t xml:space="preserve"> (</w:t>
      </w:r>
      <w:r w:rsidR="000B3C72">
        <w:t>1-2</w:t>
      </w:r>
      <w:r w:rsidR="000B3C72" w:rsidRPr="00707EA6">
        <w:rPr>
          <w:rFonts w:asciiTheme="majorBidi" w:hAnsiTheme="majorBidi" w:cstheme="majorBidi"/>
          <w:color w:val="000000" w:themeColor="text1"/>
        </w:rPr>
        <w:t>)</w:t>
      </w:r>
      <w:r w:rsidRPr="00707EA6">
        <w:rPr>
          <w:rFonts w:asciiTheme="majorBidi" w:hAnsiTheme="majorBidi" w:cstheme="majorBidi"/>
          <w:color w:val="000000"/>
        </w:rPr>
        <w:t xml:space="preserve">. Doses of cisplatin which produce changes in renal function may cause no histopathological changes. Higher doses of the drug lead to interstitial </w:t>
      </w:r>
      <w:proofErr w:type="gramStart"/>
      <w:r w:rsidR="006605A6">
        <w:rPr>
          <w:rFonts w:asciiTheme="majorBidi" w:hAnsiTheme="majorBidi" w:cstheme="majorBidi"/>
          <w:color w:val="000000"/>
        </w:rPr>
        <w:t>nephritis.(</w:t>
      </w:r>
      <w:proofErr w:type="gramEnd"/>
      <w:r w:rsidR="006605A6">
        <w:rPr>
          <w:rFonts w:asciiTheme="majorBidi" w:hAnsiTheme="majorBidi" w:cstheme="majorBidi"/>
          <w:color w:val="000000"/>
        </w:rPr>
        <w:t xml:space="preserve">3-5) </w:t>
      </w:r>
      <w:r w:rsidRPr="00707EA6">
        <w:rPr>
          <w:rFonts w:asciiTheme="majorBidi" w:hAnsiTheme="majorBidi" w:cstheme="majorBidi"/>
          <w:color w:val="000000"/>
        </w:rPr>
        <w:t xml:space="preserve">Thus, the assessment of renal function of in patients being treated with cisplatin is necessary at the early stage to avoid permanent renal </w:t>
      </w:r>
      <w:r w:rsidR="000B3C72" w:rsidRPr="00707EA6">
        <w:rPr>
          <w:rFonts w:asciiTheme="majorBidi" w:hAnsiTheme="majorBidi" w:cstheme="majorBidi"/>
          <w:color w:val="000000"/>
        </w:rPr>
        <w:t>damage</w:t>
      </w:r>
      <w:r w:rsidR="006605A6">
        <w:rPr>
          <w:rFonts w:asciiTheme="majorBidi" w:hAnsiTheme="majorBidi" w:cstheme="majorBidi"/>
          <w:color w:val="000000"/>
        </w:rPr>
        <w:t xml:space="preserve"> (6)</w:t>
      </w:r>
      <w:r w:rsidR="000B3C72" w:rsidRPr="00707EA6">
        <w:rPr>
          <w:rFonts w:asciiTheme="majorBidi" w:hAnsiTheme="majorBidi" w:cstheme="majorBidi"/>
          <w:color w:val="000000"/>
        </w:rPr>
        <w:t xml:space="preserve">. </w:t>
      </w:r>
      <w:r w:rsidRPr="00707EA6">
        <w:rPr>
          <w:rFonts w:asciiTheme="majorBidi" w:hAnsiTheme="majorBidi" w:cstheme="majorBidi"/>
          <w:color w:val="000000"/>
        </w:rPr>
        <w:t xml:space="preserve">Glomerular filtration rate (GFR) is considered to be a representative parameter for evaluating the functional status of the kidneys. Measurement of GFR is based on the renal clearance of a marker in plasma, expressed as the volume of plasma completely cleared of the marker per unit time. Markers used to measure GFR include creatinine </w:t>
      </w:r>
      <w:proofErr w:type="gramStart"/>
      <w:r w:rsidRPr="00707EA6">
        <w:rPr>
          <w:rFonts w:asciiTheme="majorBidi" w:hAnsiTheme="majorBidi" w:cstheme="majorBidi"/>
          <w:color w:val="000000"/>
        </w:rPr>
        <w:t>and  urea</w:t>
      </w:r>
      <w:proofErr w:type="gramEnd"/>
      <w:r w:rsidR="00E353C2" w:rsidRPr="00707EA6">
        <w:rPr>
          <w:rFonts w:asciiTheme="majorBidi" w:hAnsiTheme="majorBidi" w:cstheme="majorBidi"/>
          <w:color w:val="000000"/>
        </w:rPr>
        <w:t xml:space="preserve"> substances </w:t>
      </w:r>
      <w:r w:rsidR="006605A6">
        <w:rPr>
          <w:rFonts w:asciiTheme="majorBidi" w:hAnsiTheme="majorBidi" w:cstheme="majorBidi"/>
          <w:color w:val="000000"/>
        </w:rPr>
        <w:t>(7-9)</w:t>
      </w:r>
      <w:r w:rsidRPr="00707EA6">
        <w:rPr>
          <w:rFonts w:asciiTheme="majorBidi" w:hAnsiTheme="majorBidi" w:cstheme="majorBidi"/>
          <w:color w:val="000000"/>
        </w:rPr>
        <w:t xml:space="preserve">. </w:t>
      </w:r>
    </w:p>
    <w:p w:rsidR="00EA14CE" w:rsidRPr="00707EA6" w:rsidRDefault="00E353C2" w:rsidP="00612EC3">
      <w:pPr>
        <w:pStyle w:val="NormalWeb"/>
        <w:shd w:val="clear" w:color="auto" w:fill="FFFFFF"/>
        <w:spacing w:before="0" w:beforeAutospacing="0" w:after="144" w:afterAutospacing="0"/>
        <w:jc w:val="lowKashida"/>
        <w:rPr>
          <w:rFonts w:asciiTheme="majorBidi" w:hAnsiTheme="majorBidi" w:cstheme="majorBidi"/>
          <w:color w:val="000000"/>
        </w:rPr>
      </w:pPr>
      <w:r w:rsidRPr="00707EA6">
        <w:rPr>
          <w:rFonts w:asciiTheme="majorBidi" w:hAnsiTheme="majorBidi" w:cstheme="majorBidi"/>
          <w:color w:val="000000"/>
        </w:rPr>
        <w:t xml:space="preserve">Nuclear medicine method </w:t>
      </w:r>
      <w:r w:rsidR="00EA14CE" w:rsidRPr="00707EA6">
        <w:rPr>
          <w:rFonts w:asciiTheme="majorBidi" w:hAnsiTheme="majorBidi" w:cstheme="majorBidi"/>
          <w:color w:val="000000"/>
        </w:rPr>
        <w:t>is proved as the gold standard for GFR estimation. However, this method is not performed routinely in clinical practice, because of technical complexity and limited availability. The intrinsic creatinine clearance (</w:t>
      </w:r>
      <w:proofErr w:type="spellStart"/>
      <w:r w:rsidR="00EA14CE" w:rsidRPr="00707EA6">
        <w:rPr>
          <w:rFonts w:asciiTheme="majorBidi" w:hAnsiTheme="majorBidi" w:cstheme="majorBidi"/>
          <w:color w:val="000000"/>
        </w:rPr>
        <w:t>CrCl</w:t>
      </w:r>
      <w:proofErr w:type="spellEnd"/>
      <w:r w:rsidR="00EA14CE" w:rsidRPr="00707EA6">
        <w:rPr>
          <w:rFonts w:asciiTheme="majorBidi" w:hAnsiTheme="majorBidi" w:cstheme="majorBidi"/>
          <w:color w:val="000000"/>
        </w:rPr>
        <w:t>) h</w:t>
      </w:r>
      <w:r w:rsidRPr="00707EA6">
        <w:rPr>
          <w:rFonts w:asciiTheme="majorBidi" w:hAnsiTheme="majorBidi" w:cstheme="majorBidi"/>
          <w:color w:val="000000"/>
        </w:rPr>
        <w:t>as been widely performed in</w:t>
      </w:r>
      <w:r w:rsidR="00EA14CE" w:rsidRPr="00707EA6">
        <w:rPr>
          <w:rFonts w:asciiTheme="majorBidi" w:hAnsiTheme="majorBidi" w:cstheme="majorBidi"/>
          <w:color w:val="000000"/>
        </w:rPr>
        <w:t xml:space="preserve"> routine practice. This method, however, is not as accurate when </w:t>
      </w:r>
      <w:r w:rsidRPr="00707EA6">
        <w:rPr>
          <w:rFonts w:asciiTheme="majorBidi" w:hAnsiTheme="majorBidi" w:cstheme="majorBidi"/>
          <w:color w:val="000000"/>
        </w:rPr>
        <w:t xml:space="preserve">compared to the nuclear medicine </w:t>
      </w:r>
      <w:r w:rsidR="00612EC3" w:rsidRPr="00707EA6">
        <w:rPr>
          <w:rFonts w:asciiTheme="majorBidi" w:hAnsiTheme="majorBidi" w:cstheme="majorBidi"/>
          <w:color w:val="000000"/>
        </w:rPr>
        <w:t>method. (</w:t>
      </w:r>
      <w:r w:rsidR="00612EC3" w:rsidRPr="00612EC3">
        <w:rPr>
          <w:rFonts w:asciiTheme="majorBidi" w:hAnsiTheme="majorBidi" w:cstheme="majorBidi"/>
          <w:color w:val="000000"/>
        </w:rPr>
        <w:t>10)</w:t>
      </w:r>
    </w:p>
    <w:p w:rsidR="00EA14CE" w:rsidRPr="00707EA6" w:rsidRDefault="00EA14CE" w:rsidP="007E0358">
      <w:pPr>
        <w:pStyle w:val="NormalWeb"/>
        <w:shd w:val="clear" w:color="auto" w:fill="FFFFFF"/>
        <w:spacing w:before="0" w:beforeAutospacing="0" w:after="144" w:afterAutospacing="0"/>
        <w:jc w:val="lowKashida"/>
        <w:rPr>
          <w:rFonts w:asciiTheme="majorBidi" w:hAnsiTheme="majorBidi" w:cstheme="majorBidi"/>
          <w:color w:val="000000"/>
        </w:rPr>
      </w:pPr>
      <w:r w:rsidRPr="00707EA6">
        <w:rPr>
          <w:rFonts w:asciiTheme="majorBidi" w:hAnsiTheme="majorBidi" w:cstheme="majorBidi"/>
          <w:color w:val="000000"/>
        </w:rPr>
        <w:t xml:space="preserve">Therefore, simple and accurate determination of the GFR is still </w:t>
      </w:r>
      <w:r w:rsidR="00E353C2" w:rsidRPr="00707EA6">
        <w:rPr>
          <w:rFonts w:asciiTheme="majorBidi" w:hAnsiTheme="majorBidi" w:cstheme="majorBidi"/>
          <w:color w:val="000000"/>
        </w:rPr>
        <w:t>a clinical challenge</w:t>
      </w:r>
      <w:r w:rsidR="00612EC3">
        <w:rPr>
          <w:rFonts w:asciiTheme="majorBidi" w:hAnsiTheme="majorBidi" w:cstheme="majorBidi"/>
          <w:color w:val="000000"/>
        </w:rPr>
        <w:t xml:space="preserve"> (11-12). </w:t>
      </w:r>
      <w:r w:rsidRPr="00707EA6">
        <w:rPr>
          <w:rFonts w:asciiTheme="majorBidi" w:hAnsiTheme="majorBidi" w:cstheme="majorBidi"/>
          <w:color w:val="000000"/>
        </w:rPr>
        <w:t xml:space="preserve">Numerous formulae have been developed to estimate GFR or creatinine clearance from serum </w:t>
      </w:r>
      <w:r w:rsidRPr="00707EA6">
        <w:rPr>
          <w:rFonts w:asciiTheme="majorBidi" w:hAnsiTheme="majorBidi" w:cstheme="majorBidi"/>
          <w:color w:val="000000"/>
        </w:rPr>
        <w:lastRenderedPageBreak/>
        <w:t xml:space="preserve">creatinine and other variables. In 99mTc- DTPA (Diethylene </w:t>
      </w:r>
      <w:proofErr w:type="spellStart"/>
      <w:r w:rsidRPr="00707EA6">
        <w:rPr>
          <w:rFonts w:asciiTheme="majorBidi" w:hAnsiTheme="majorBidi" w:cstheme="majorBidi"/>
          <w:color w:val="000000"/>
        </w:rPr>
        <w:t>Triamine</w:t>
      </w:r>
      <w:proofErr w:type="spellEnd"/>
      <w:r w:rsidRPr="00707EA6">
        <w:rPr>
          <w:rFonts w:asciiTheme="majorBidi" w:hAnsiTheme="majorBidi" w:cstheme="majorBidi"/>
          <w:color w:val="000000"/>
        </w:rPr>
        <w:t xml:space="preserve"> </w:t>
      </w:r>
      <w:proofErr w:type="spellStart"/>
      <w:r w:rsidRPr="00707EA6">
        <w:rPr>
          <w:rFonts w:asciiTheme="majorBidi" w:hAnsiTheme="majorBidi" w:cstheme="majorBidi"/>
          <w:color w:val="000000"/>
        </w:rPr>
        <w:t>Pentaacetic</w:t>
      </w:r>
      <w:proofErr w:type="spellEnd"/>
      <w:r w:rsidRPr="00707EA6">
        <w:rPr>
          <w:rFonts w:asciiTheme="majorBidi" w:hAnsiTheme="majorBidi" w:cstheme="majorBidi"/>
          <w:color w:val="000000"/>
        </w:rPr>
        <w:t xml:space="preserve"> Acid) renography, GFR is calculated without blood or urine sampling. This method (Gates Method) has been the most common in the routine setting, although the diagnostic accuracy of the gamma camera methods is debatable. Several formulae have been developed to estimate either </w:t>
      </w:r>
      <w:proofErr w:type="spellStart"/>
      <w:r w:rsidRPr="00707EA6">
        <w:rPr>
          <w:rFonts w:asciiTheme="majorBidi" w:hAnsiTheme="majorBidi" w:cstheme="majorBidi"/>
          <w:color w:val="000000"/>
        </w:rPr>
        <w:t>CrCl</w:t>
      </w:r>
      <w:proofErr w:type="spellEnd"/>
      <w:r w:rsidRPr="00707EA6">
        <w:rPr>
          <w:rFonts w:asciiTheme="majorBidi" w:hAnsiTheme="majorBidi" w:cstheme="majorBidi"/>
          <w:color w:val="000000"/>
        </w:rPr>
        <w:t xml:space="preserve"> or 51Cr-EDTA (Ethylene </w:t>
      </w:r>
      <w:proofErr w:type="gramStart"/>
      <w:r w:rsidRPr="00707EA6">
        <w:rPr>
          <w:rFonts w:asciiTheme="majorBidi" w:hAnsiTheme="majorBidi" w:cstheme="majorBidi"/>
          <w:color w:val="000000"/>
        </w:rPr>
        <w:t xml:space="preserve">Diamine  </w:t>
      </w:r>
      <w:proofErr w:type="spellStart"/>
      <w:r w:rsidRPr="00707EA6">
        <w:rPr>
          <w:rFonts w:asciiTheme="majorBidi" w:hAnsiTheme="majorBidi" w:cstheme="majorBidi"/>
          <w:color w:val="000000"/>
        </w:rPr>
        <w:t>Triacetic</w:t>
      </w:r>
      <w:proofErr w:type="spellEnd"/>
      <w:proofErr w:type="gramEnd"/>
      <w:r w:rsidRPr="00707EA6">
        <w:rPr>
          <w:rFonts w:asciiTheme="majorBidi" w:hAnsiTheme="majorBidi" w:cstheme="majorBidi"/>
          <w:color w:val="000000"/>
        </w:rPr>
        <w:t xml:space="preserve"> Acid) measurements of GFR including the </w:t>
      </w:r>
      <w:proofErr w:type="spellStart"/>
      <w:r w:rsidRPr="00707EA6">
        <w:rPr>
          <w:rFonts w:asciiTheme="majorBidi" w:hAnsiTheme="majorBidi" w:cstheme="majorBidi"/>
          <w:color w:val="000000"/>
        </w:rPr>
        <w:t>Cockroft</w:t>
      </w:r>
      <w:proofErr w:type="spellEnd"/>
      <w:r w:rsidRPr="00707EA6">
        <w:rPr>
          <w:rFonts w:asciiTheme="majorBidi" w:hAnsiTheme="majorBidi" w:cstheme="majorBidi"/>
          <w:color w:val="000000"/>
        </w:rPr>
        <w:t xml:space="preserve">-Gault (CG), </w:t>
      </w:r>
      <w:proofErr w:type="spellStart"/>
      <w:r w:rsidRPr="00707EA6">
        <w:rPr>
          <w:rFonts w:asciiTheme="majorBidi" w:hAnsiTheme="majorBidi" w:cstheme="majorBidi"/>
          <w:color w:val="000000"/>
        </w:rPr>
        <w:t>Jelliffe</w:t>
      </w:r>
      <w:proofErr w:type="spellEnd"/>
      <w:r w:rsidRPr="00707EA6">
        <w:rPr>
          <w:rFonts w:asciiTheme="majorBidi" w:hAnsiTheme="majorBidi" w:cstheme="majorBidi"/>
          <w:color w:val="000000"/>
        </w:rPr>
        <w:t xml:space="preserve"> and Wright formulae. Plasma sample method following a single-injection o</w:t>
      </w:r>
      <w:r w:rsidR="0013370A" w:rsidRPr="00707EA6">
        <w:rPr>
          <w:rFonts w:asciiTheme="majorBidi" w:hAnsiTheme="majorBidi" w:cstheme="majorBidi"/>
          <w:color w:val="000000"/>
        </w:rPr>
        <w:t>f radioactive markers</w:t>
      </w:r>
      <w:r w:rsidRPr="00707EA6">
        <w:rPr>
          <w:rFonts w:asciiTheme="majorBidi" w:hAnsiTheme="majorBidi" w:cstheme="majorBidi"/>
          <w:color w:val="000000"/>
        </w:rPr>
        <w:t xml:space="preserve"> has been proved effective as an alternative to the contin</w:t>
      </w:r>
      <w:r w:rsidR="0013370A" w:rsidRPr="00707EA6">
        <w:rPr>
          <w:rFonts w:asciiTheme="majorBidi" w:hAnsiTheme="majorBidi" w:cstheme="majorBidi"/>
          <w:color w:val="000000"/>
        </w:rPr>
        <w:t>uous infusion method for</w:t>
      </w:r>
      <w:r w:rsidRPr="00707EA6">
        <w:rPr>
          <w:rFonts w:asciiTheme="majorBidi" w:hAnsiTheme="majorBidi" w:cstheme="majorBidi"/>
          <w:color w:val="000000"/>
        </w:rPr>
        <w:t xml:space="preserve"> the determination of </w:t>
      </w:r>
      <w:r w:rsidR="00E353C2" w:rsidRPr="00707EA6">
        <w:rPr>
          <w:rFonts w:asciiTheme="majorBidi" w:hAnsiTheme="majorBidi" w:cstheme="majorBidi"/>
          <w:color w:val="000000"/>
        </w:rPr>
        <w:t xml:space="preserve">GFR in clinical </w:t>
      </w:r>
      <w:proofErr w:type="gramStart"/>
      <w:r w:rsidR="0013370A" w:rsidRPr="00707EA6">
        <w:rPr>
          <w:rFonts w:asciiTheme="majorBidi" w:hAnsiTheme="majorBidi" w:cstheme="majorBidi"/>
          <w:color w:val="000000"/>
        </w:rPr>
        <w:t>practice.</w:t>
      </w:r>
      <w:r w:rsidR="007E0358">
        <w:rPr>
          <w:rFonts w:asciiTheme="majorBidi" w:hAnsiTheme="majorBidi" w:cstheme="majorBidi"/>
          <w:color w:val="000000"/>
        </w:rPr>
        <w:t>(</w:t>
      </w:r>
      <w:proofErr w:type="gramEnd"/>
      <w:r w:rsidR="007E0358">
        <w:rPr>
          <w:rFonts w:asciiTheme="majorBidi" w:hAnsiTheme="majorBidi" w:cstheme="majorBidi"/>
          <w:color w:val="000000"/>
        </w:rPr>
        <w:t>13-15)</w:t>
      </w:r>
    </w:p>
    <w:p w:rsidR="00EA14CE" w:rsidRPr="00707EA6" w:rsidRDefault="00EA14CE" w:rsidP="00707EA6">
      <w:pPr>
        <w:pStyle w:val="NormalWeb"/>
        <w:shd w:val="clear" w:color="auto" w:fill="FFFFFF"/>
        <w:spacing w:before="0" w:beforeAutospacing="0" w:after="144" w:afterAutospacing="0"/>
        <w:jc w:val="lowKashida"/>
        <w:rPr>
          <w:rFonts w:asciiTheme="majorBidi" w:hAnsiTheme="majorBidi" w:cstheme="majorBidi"/>
          <w:color w:val="000000"/>
        </w:rPr>
      </w:pPr>
      <w:r w:rsidRPr="00707EA6">
        <w:rPr>
          <w:rFonts w:asciiTheme="majorBidi" w:hAnsiTheme="majorBidi" w:cstheme="majorBidi"/>
          <w:color w:val="000000"/>
        </w:rPr>
        <w:t>The aim o</w:t>
      </w:r>
      <w:r w:rsidR="00E353C2" w:rsidRPr="00707EA6">
        <w:rPr>
          <w:rFonts w:asciiTheme="majorBidi" w:hAnsiTheme="majorBidi" w:cstheme="majorBidi"/>
          <w:color w:val="000000"/>
        </w:rPr>
        <w:t xml:space="preserve">f this study was to </w:t>
      </w:r>
      <w:r w:rsidR="0013370A" w:rsidRPr="00707EA6">
        <w:rPr>
          <w:rFonts w:asciiTheme="majorBidi" w:hAnsiTheme="majorBidi" w:cstheme="majorBidi"/>
          <w:color w:val="000000"/>
        </w:rPr>
        <w:t>detect cisplatin</w:t>
      </w:r>
      <w:r w:rsidR="00E353C2" w:rsidRPr="00707EA6">
        <w:rPr>
          <w:rFonts w:asciiTheme="majorBidi" w:hAnsiTheme="majorBidi" w:cstheme="majorBidi"/>
          <w:color w:val="000000"/>
        </w:rPr>
        <w:t xml:space="preserve"> </w:t>
      </w:r>
      <w:r w:rsidRPr="00707EA6">
        <w:rPr>
          <w:rFonts w:asciiTheme="majorBidi" w:hAnsiTheme="majorBidi" w:cstheme="majorBidi"/>
          <w:color w:val="000000"/>
        </w:rPr>
        <w:t>nephrotoxicity by</w:t>
      </w:r>
      <w:r w:rsidR="00E353C2" w:rsidRPr="00707EA6">
        <w:rPr>
          <w:rFonts w:asciiTheme="majorBidi" w:hAnsiTheme="majorBidi" w:cstheme="majorBidi"/>
          <w:color w:val="000000"/>
        </w:rPr>
        <w:t xml:space="preserve"> using of </w:t>
      </w:r>
      <w:r w:rsidR="0013370A" w:rsidRPr="00707EA6">
        <w:rPr>
          <w:rStyle w:val="Hyperlink"/>
          <w:rFonts w:asciiTheme="majorBidi" w:hAnsiTheme="majorBidi" w:cstheme="majorBidi"/>
          <w:color w:val="000000" w:themeColor="text1"/>
          <w:u w:val="none"/>
          <w:vertAlign w:val="superscript"/>
        </w:rPr>
        <w:t>99 m</w:t>
      </w:r>
      <w:r w:rsidR="0013370A" w:rsidRPr="00707EA6">
        <w:rPr>
          <w:rStyle w:val="Hyperlink"/>
          <w:rFonts w:asciiTheme="majorBidi" w:hAnsiTheme="majorBidi" w:cstheme="majorBidi"/>
          <w:color w:val="000000" w:themeColor="text1"/>
          <w:u w:val="none"/>
        </w:rPr>
        <w:t>Tc</w:t>
      </w:r>
      <w:r w:rsidR="0013370A" w:rsidRPr="00707EA6">
        <w:rPr>
          <w:rStyle w:val="Hyperlink"/>
          <w:rFonts w:asciiTheme="majorBidi" w:hAnsiTheme="majorBidi" w:cstheme="majorBidi"/>
          <w:color w:val="000000" w:themeColor="text1"/>
          <w:u w:val="none"/>
          <w:vertAlign w:val="superscript"/>
        </w:rPr>
        <w:t xml:space="preserve"> </w:t>
      </w:r>
      <w:r w:rsidR="0013370A" w:rsidRPr="00707EA6">
        <w:rPr>
          <w:rStyle w:val="Hyperlink"/>
          <w:rFonts w:asciiTheme="majorBidi" w:hAnsiTheme="majorBidi" w:cstheme="majorBidi"/>
          <w:color w:val="000000" w:themeColor="text1"/>
          <w:u w:val="none"/>
        </w:rPr>
        <w:t>DTPA</w:t>
      </w:r>
      <w:r w:rsidR="00E353C2" w:rsidRPr="00707EA6">
        <w:rPr>
          <w:rFonts w:asciiTheme="majorBidi" w:hAnsiTheme="majorBidi" w:cstheme="majorBidi"/>
          <w:color w:val="000000"/>
        </w:rPr>
        <w:t xml:space="preserve"> scintigraphic GFR measurement and creatinine </w:t>
      </w:r>
      <w:r w:rsidR="0013370A" w:rsidRPr="00707EA6">
        <w:rPr>
          <w:rFonts w:asciiTheme="majorBidi" w:hAnsiTheme="majorBidi" w:cstheme="majorBidi"/>
          <w:color w:val="000000"/>
        </w:rPr>
        <w:t>clearance measurement and</w:t>
      </w:r>
      <w:r w:rsidRPr="00707EA6">
        <w:rPr>
          <w:rFonts w:asciiTheme="majorBidi" w:hAnsiTheme="majorBidi" w:cstheme="majorBidi"/>
          <w:color w:val="000000"/>
        </w:rPr>
        <w:t xml:space="preserve"> comparison of various methods of GFR estimation.</w:t>
      </w:r>
      <w:r w:rsidR="00411ABD" w:rsidRPr="00411ABD">
        <w:rPr>
          <w:rFonts w:asciiTheme="majorBidi" w:hAnsiTheme="majorBidi" w:cstheme="majorBidi"/>
          <w:color w:val="000000"/>
          <w:highlight w:val="yellow"/>
        </w:rPr>
        <w:t xml:space="preserve"> </w:t>
      </w:r>
    </w:p>
    <w:p w:rsidR="00AB102F" w:rsidRPr="007E0358" w:rsidRDefault="007E0358" w:rsidP="007E0358">
      <w:pPr>
        <w:pStyle w:val="NormalWeb"/>
        <w:numPr>
          <w:ilvl w:val="0"/>
          <w:numId w:val="7"/>
        </w:numPr>
        <w:shd w:val="clear" w:color="auto" w:fill="FFFFFF"/>
        <w:spacing w:before="0" w:beforeAutospacing="0" w:after="144" w:afterAutospacing="0"/>
        <w:jc w:val="lowKashida"/>
        <w:rPr>
          <w:bCs/>
        </w:rPr>
      </w:pPr>
      <w:r w:rsidRPr="007E0358">
        <w:rPr>
          <w:rFonts w:asciiTheme="majorBidi" w:hAnsiTheme="majorBidi" w:cstheme="majorBidi"/>
          <w:b/>
        </w:rPr>
        <w:t>Material and Method</w:t>
      </w:r>
      <w:r w:rsidR="00411ABD" w:rsidRPr="007E0358">
        <w:rPr>
          <w:bCs/>
        </w:rPr>
        <w:t>:</w:t>
      </w:r>
    </w:p>
    <w:p w:rsidR="007E0358" w:rsidRDefault="00752573" w:rsidP="007E0358">
      <w:pPr>
        <w:spacing w:line="240" w:lineRule="auto"/>
        <w:jc w:val="lowKashida"/>
        <w:rPr>
          <w:rFonts w:asciiTheme="majorBidi" w:hAnsiTheme="majorBidi" w:cstheme="majorBidi"/>
          <w:bCs/>
          <w:iCs/>
          <w:sz w:val="24"/>
          <w:szCs w:val="24"/>
        </w:rPr>
      </w:pPr>
      <w:r w:rsidRPr="00707EA6">
        <w:rPr>
          <w:rFonts w:asciiTheme="majorBidi" w:hAnsiTheme="majorBidi" w:cstheme="majorBidi"/>
          <w:bCs/>
          <w:sz w:val="24"/>
          <w:szCs w:val="24"/>
        </w:rPr>
        <w:t>Sample selection of the study was non hypertensive, non diabetic or unstable patient with adequate baseline r</w:t>
      </w:r>
      <w:r w:rsidR="0013370A" w:rsidRPr="00707EA6">
        <w:rPr>
          <w:rFonts w:asciiTheme="majorBidi" w:hAnsiTheme="majorBidi" w:cstheme="majorBidi"/>
          <w:bCs/>
          <w:sz w:val="24"/>
          <w:szCs w:val="24"/>
        </w:rPr>
        <w:t>enal status patient. 85 patients (31 female and 54</w:t>
      </w:r>
      <w:r w:rsidRPr="00707EA6">
        <w:rPr>
          <w:rFonts w:asciiTheme="majorBidi" w:hAnsiTheme="majorBidi" w:cstheme="majorBidi"/>
          <w:bCs/>
          <w:sz w:val="24"/>
          <w:szCs w:val="24"/>
        </w:rPr>
        <w:t xml:space="preserve"> </w:t>
      </w:r>
      <w:proofErr w:type="gramStart"/>
      <w:r w:rsidRPr="00707EA6">
        <w:rPr>
          <w:rFonts w:asciiTheme="majorBidi" w:hAnsiTheme="majorBidi" w:cstheme="majorBidi"/>
          <w:bCs/>
          <w:sz w:val="24"/>
          <w:szCs w:val="24"/>
        </w:rPr>
        <w:t>male )</w:t>
      </w:r>
      <w:proofErr w:type="gramEnd"/>
      <w:r w:rsidR="007E0358">
        <w:rPr>
          <w:rFonts w:asciiTheme="majorBidi" w:hAnsiTheme="majorBidi" w:cstheme="majorBidi"/>
          <w:bCs/>
          <w:sz w:val="24"/>
          <w:szCs w:val="24"/>
        </w:rPr>
        <w:t xml:space="preserve"> </w:t>
      </w:r>
      <w:r w:rsidRPr="00707EA6">
        <w:rPr>
          <w:rFonts w:asciiTheme="majorBidi" w:hAnsiTheme="majorBidi" w:cstheme="majorBidi"/>
          <w:bCs/>
          <w:sz w:val="24"/>
          <w:szCs w:val="24"/>
        </w:rPr>
        <w:t xml:space="preserve">with mean age of 44.8 years were included in the study .all patients were planned to received cisplatin therapy an average dose of 867.5 mg for carcinoma of head and neck, </w:t>
      </w:r>
      <w:proofErr w:type="spellStart"/>
      <w:r w:rsidRPr="00707EA6">
        <w:rPr>
          <w:rFonts w:asciiTheme="majorBidi" w:hAnsiTheme="majorBidi" w:cstheme="majorBidi"/>
          <w:bCs/>
          <w:sz w:val="24"/>
          <w:szCs w:val="24"/>
        </w:rPr>
        <w:t>brest</w:t>
      </w:r>
      <w:proofErr w:type="spellEnd"/>
      <w:r w:rsidRPr="00707EA6">
        <w:rPr>
          <w:rFonts w:asciiTheme="majorBidi" w:hAnsiTheme="majorBidi" w:cstheme="majorBidi"/>
          <w:bCs/>
          <w:sz w:val="24"/>
          <w:szCs w:val="24"/>
        </w:rPr>
        <w:t xml:space="preserve">, testicular  and lung in different stages. </w:t>
      </w:r>
      <w:r w:rsidR="00D84D5A" w:rsidRPr="00707EA6">
        <w:rPr>
          <w:rFonts w:asciiTheme="majorBidi" w:hAnsiTheme="majorBidi" w:cstheme="majorBidi"/>
          <w:bCs/>
          <w:iCs/>
          <w:sz w:val="24"/>
          <w:szCs w:val="24"/>
        </w:rPr>
        <w:t>All patients who came to the nuclear medicine department to do radionuclide renal scan with glomerular filtration rate (GFR) measurement and creatinine clearance requested by physician for follow up</w:t>
      </w:r>
      <w:r w:rsidR="00411ABD">
        <w:rPr>
          <w:rFonts w:asciiTheme="majorBidi" w:hAnsiTheme="majorBidi" w:cstheme="majorBidi"/>
          <w:bCs/>
          <w:iCs/>
          <w:sz w:val="24"/>
          <w:szCs w:val="24"/>
        </w:rPr>
        <w:t>.</w:t>
      </w:r>
    </w:p>
    <w:p w:rsidR="007E0358" w:rsidRDefault="00A8001E" w:rsidP="007E0358">
      <w:pPr>
        <w:spacing w:line="240" w:lineRule="auto"/>
        <w:jc w:val="lowKashida"/>
        <w:rPr>
          <w:rFonts w:asciiTheme="majorBidi" w:hAnsiTheme="majorBidi" w:cstheme="majorBidi"/>
          <w:sz w:val="24"/>
          <w:szCs w:val="24"/>
        </w:rPr>
      </w:pPr>
      <w:r w:rsidRPr="00707EA6">
        <w:rPr>
          <w:rFonts w:asciiTheme="majorBidi" w:hAnsiTheme="majorBidi" w:cstheme="majorBidi"/>
          <w:b/>
          <w:sz w:val="24"/>
          <w:szCs w:val="24"/>
        </w:rPr>
        <w:t>Patient preparation</w:t>
      </w:r>
      <w:r w:rsidR="00411ABD">
        <w:rPr>
          <w:rFonts w:asciiTheme="majorBidi" w:hAnsiTheme="majorBidi" w:cstheme="majorBidi"/>
          <w:b/>
          <w:sz w:val="24"/>
          <w:szCs w:val="24"/>
        </w:rPr>
        <w:t xml:space="preserve">: </w:t>
      </w:r>
      <w:r w:rsidRPr="00707EA6">
        <w:rPr>
          <w:rFonts w:asciiTheme="majorBidi" w:hAnsiTheme="majorBidi" w:cstheme="majorBidi"/>
          <w:sz w:val="24"/>
          <w:szCs w:val="24"/>
        </w:rPr>
        <w:t>-The information about patient would be identified and also identified the disease background (symptoms and signs) then explain the procedure, the reports would be taken from the previous study (lab investigation), Patient must be well hydrated and avoid before injection. -Patient details should be checked together with an assessment of the possibilities of pregnancy for women</w:t>
      </w:r>
      <w:r w:rsidR="00411ABD">
        <w:rPr>
          <w:rFonts w:asciiTheme="majorBidi" w:hAnsiTheme="majorBidi" w:cstheme="majorBidi"/>
          <w:sz w:val="24"/>
          <w:szCs w:val="24"/>
        </w:rPr>
        <w:t xml:space="preserve"> and </w:t>
      </w:r>
      <w:r w:rsidRPr="00707EA6">
        <w:rPr>
          <w:rFonts w:asciiTheme="majorBidi" w:hAnsiTheme="majorBidi" w:cstheme="majorBidi"/>
          <w:sz w:val="24"/>
          <w:szCs w:val="24"/>
        </w:rPr>
        <w:t>- Note patient’s height and weight for determination of BSA.</w:t>
      </w:r>
    </w:p>
    <w:p w:rsidR="00A8001E" w:rsidRPr="007E0358" w:rsidRDefault="00411ABD" w:rsidP="007E0358">
      <w:pPr>
        <w:spacing w:line="240" w:lineRule="auto"/>
        <w:jc w:val="lowKashida"/>
        <w:rPr>
          <w:rFonts w:asciiTheme="majorBidi" w:hAnsiTheme="majorBidi" w:cstheme="majorBidi"/>
          <w:sz w:val="24"/>
          <w:szCs w:val="24"/>
        </w:rPr>
      </w:pPr>
      <w:r>
        <w:rPr>
          <w:rFonts w:asciiTheme="majorBidi" w:hAnsiTheme="majorBidi" w:cstheme="majorBidi"/>
          <w:b/>
        </w:rPr>
        <w:t xml:space="preserve">Technique: </w:t>
      </w:r>
      <w:r w:rsidR="008E081B" w:rsidRPr="00707EA6">
        <w:rPr>
          <w:rFonts w:asciiTheme="majorBidi" w:hAnsiTheme="majorBidi" w:cstheme="majorBidi"/>
          <w:color w:val="000000"/>
          <w:shd w:val="clear" w:color="auto" w:fill="FFFFFF"/>
        </w:rPr>
        <w:t xml:space="preserve">99mTc-DTPA was prepared by following the manufacturer's instructions; aseptically two </w:t>
      </w:r>
      <w:proofErr w:type="gramStart"/>
      <w:r w:rsidR="008E081B" w:rsidRPr="00707EA6">
        <w:rPr>
          <w:rFonts w:asciiTheme="majorBidi" w:hAnsiTheme="majorBidi" w:cstheme="majorBidi"/>
          <w:color w:val="000000"/>
          <w:shd w:val="clear" w:color="auto" w:fill="FFFFFF"/>
        </w:rPr>
        <w:t>to  5</w:t>
      </w:r>
      <w:proofErr w:type="gramEnd"/>
      <w:r w:rsidR="008E081B" w:rsidRPr="00707EA6">
        <w:rPr>
          <w:rFonts w:asciiTheme="majorBidi" w:hAnsiTheme="majorBidi" w:cstheme="majorBidi"/>
          <w:color w:val="000000"/>
          <w:shd w:val="clear" w:color="auto" w:fill="FFFFFF"/>
        </w:rPr>
        <w:t xml:space="preserve">-mCi (185 MBq) aliquots using a 3-cc syringe with a 22-gauge needle were drawn. One aliquot was set aside as the standard and the remainder were used for patient dose. The standard and the dose were calibrated carefully in a way that the percent difference between standard and dose should exceed 5% not under any circumstances. The patient was injected under the gamma </w:t>
      </w:r>
      <w:proofErr w:type="gramStart"/>
      <w:r w:rsidR="008E081B" w:rsidRPr="00707EA6">
        <w:rPr>
          <w:rFonts w:asciiTheme="majorBidi" w:hAnsiTheme="majorBidi" w:cstheme="majorBidi"/>
          <w:color w:val="000000"/>
          <w:shd w:val="clear" w:color="auto" w:fill="FFFFFF"/>
        </w:rPr>
        <w:t>camera  for</w:t>
      </w:r>
      <w:proofErr w:type="gramEnd"/>
      <w:r w:rsidR="008E081B" w:rsidRPr="00707EA6">
        <w:rPr>
          <w:rFonts w:asciiTheme="majorBidi" w:hAnsiTheme="majorBidi" w:cstheme="majorBidi"/>
          <w:color w:val="000000"/>
          <w:shd w:val="clear" w:color="auto" w:fill="FFFFFF"/>
        </w:rPr>
        <w:t xml:space="preserve"> a dynamic renal study. The empty and full syringes counts were recorded by well counter and also under gamma camera. GFR was automatically calculated by the Gates method in ml/min/1.73 m2</w:t>
      </w:r>
      <w:r w:rsidR="007E0358">
        <w:rPr>
          <w:rFonts w:asciiTheme="majorBidi" w:hAnsiTheme="majorBidi" w:cstheme="majorBidi"/>
          <w:color w:val="000000"/>
          <w:shd w:val="clear" w:color="auto" w:fill="FFFFFF"/>
        </w:rPr>
        <w:t>.</w:t>
      </w:r>
    </w:p>
    <w:p w:rsidR="00D32BDE" w:rsidRPr="00707EA6" w:rsidRDefault="00AE2763" w:rsidP="00411ABD">
      <w:pPr>
        <w:pStyle w:val="NormalWeb"/>
        <w:shd w:val="clear" w:color="auto" w:fill="FFFFFF"/>
        <w:spacing w:before="0" w:beforeAutospacing="0" w:after="0" w:afterAutospacing="0"/>
        <w:jc w:val="lowKashida"/>
        <w:rPr>
          <w:rFonts w:asciiTheme="majorBidi" w:hAnsiTheme="majorBidi" w:cstheme="majorBidi"/>
          <w:color w:val="000000"/>
        </w:rPr>
      </w:pPr>
      <w:r w:rsidRPr="00707EA6">
        <w:rPr>
          <w:rStyle w:val="Emphasis"/>
          <w:rFonts w:asciiTheme="majorBidi" w:hAnsiTheme="majorBidi" w:cstheme="majorBidi"/>
          <w:b/>
          <w:bCs/>
          <w:i w:val="0"/>
          <w:color w:val="000000"/>
        </w:rPr>
        <w:t>Statistics</w:t>
      </w:r>
      <w:r w:rsidR="00411ABD">
        <w:rPr>
          <w:rStyle w:val="Emphasis"/>
          <w:rFonts w:asciiTheme="majorBidi" w:hAnsiTheme="majorBidi" w:cstheme="majorBidi"/>
          <w:b/>
          <w:bCs/>
          <w:i w:val="0"/>
          <w:color w:val="000000"/>
        </w:rPr>
        <w:t xml:space="preserve">: </w:t>
      </w:r>
      <w:r w:rsidRPr="00707EA6">
        <w:rPr>
          <w:rFonts w:asciiTheme="majorBidi" w:hAnsiTheme="majorBidi" w:cstheme="majorBidi"/>
          <w:color w:val="000000"/>
        </w:rPr>
        <w:t> Data was entered and analyz</w:t>
      </w:r>
      <w:r w:rsidR="00A8001E" w:rsidRPr="00707EA6">
        <w:rPr>
          <w:rFonts w:asciiTheme="majorBidi" w:hAnsiTheme="majorBidi" w:cstheme="majorBidi"/>
          <w:color w:val="000000"/>
        </w:rPr>
        <w:t>ed by using Microsoft Excel 2007</w:t>
      </w:r>
      <w:r w:rsidRPr="00707EA6">
        <w:rPr>
          <w:rFonts w:asciiTheme="majorBidi" w:hAnsiTheme="majorBidi" w:cstheme="majorBidi"/>
          <w:color w:val="000000"/>
        </w:rPr>
        <w:t xml:space="preserve"> and, Statistical </w:t>
      </w:r>
      <w:proofErr w:type="spellStart"/>
      <w:r w:rsidRPr="00707EA6">
        <w:rPr>
          <w:rFonts w:asciiTheme="majorBidi" w:hAnsiTheme="majorBidi" w:cstheme="majorBidi"/>
          <w:color w:val="000000"/>
        </w:rPr>
        <w:t>Programme</w:t>
      </w:r>
      <w:proofErr w:type="spellEnd"/>
      <w:r w:rsidRPr="00707EA6">
        <w:rPr>
          <w:rFonts w:asciiTheme="majorBidi" w:hAnsiTheme="majorBidi" w:cstheme="majorBidi"/>
          <w:color w:val="000000"/>
        </w:rPr>
        <w:t xml:space="preserve"> for Social Sciences (</w:t>
      </w:r>
      <w:r w:rsidR="00A8001E" w:rsidRPr="00707EA6">
        <w:rPr>
          <w:rFonts w:asciiTheme="majorBidi" w:hAnsiTheme="majorBidi" w:cstheme="majorBidi"/>
          <w:color w:val="000000"/>
        </w:rPr>
        <w:t>SPSS</w:t>
      </w:r>
      <w:proofErr w:type="gramStart"/>
      <w:r w:rsidR="00A8001E" w:rsidRPr="00707EA6">
        <w:rPr>
          <w:rFonts w:asciiTheme="majorBidi" w:hAnsiTheme="majorBidi" w:cstheme="majorBidi"/>
          <w:color w:val="000000"/>
        </w:rPr>
        <w:t xml:space="preserve">) </w:t>
      </w:r>
      <w:r w:rsidRPr="00707EA6">
        <w:rPr>
          <w:rFonts w:asciiTheme="majorBidi" w:hAnsiTheme="majorBidi" w:cstheme="majorBidi"/>
          <w:color w:val="000000"/>
        </w:rPr>
        <w:t>.</w:t>
      </w:r>
      <w:proofErr w:type="gramEnd"/>
      <w:r w:rsidRPr="00707EA6">
        <w:rPr>
          <w:rFonts w:asciiTheme="majorBidi" w:hAnsiTheme="majorBidi" w:cstheme="majorBidi"/>
          <w:color w:val="000000"/>
        </w:rPr>
        <w:t xml:space="preserve"> Population distribution of sample was also normal. In order to observe statistical significance, patient's data including mean change in GFR from baseline, in response to each cisplatin cycle were compared using paired sample t-test. For the comparison of methods, standard linear least-squares regression analysis was used. A p-value of 0.001 or less was considered significant</w:t>
      </w:r>
      <w:r w:rsidR="00325637" w:rsidRPr="00707EA6">
        <w:rPr>
          <w:rFonts w:asciiTheme="majorBidi" w:hAnsiTheme="majorBidi" w:cstheme="majorBidi"/>
          <w:color w:val="000000"/>
        </w:rPr>
        <w:t>.</w:t>
      </w:r>
    </w:p>
    <w:p w:rsidR="00411ABD" w:rsidRDefault="00411ABD" w:rsidP="00707EA6">
      <w:pPr>
        <w:pStyle w:val="Default"/>
        <w:jc w:val="lowKashida"/>
        <w:rPr>
          <w:rFonts w:asciiTheme="majorBidi" w:hAnsiTheme="majorBidi" w:cstheme="majorBidi"/>
          <w:b/>
          <w:bCs/>
        </w:rPr>
      </w:pPr>
    </w:p>
    <w:p w:rsidR="007E0358" w:rsidRDefault="007E0358" w:rsidP="00707EA6">
      <w:pPr>
        <w:pStyle w:val="Default"/>
        <w:jc w:val="lowKashida"/>
        <w:rPr>
          <w:rFonts w:asciiTheme="majorBidi" w:hAnsiTheme="majorBidi" w:cstheme="majorBidi"/>
          <w:b/>
          <w:bCs/>
        </w:rPr>
      </w:pPr>
    </w:p>
    <w:p w:rsidR="007E0358" w:rsidRDefault="007E0358" w:rsidP="00707EA6">
      <w:pPr>
        <w:pStyle w:val="Default"/>
        <w:jc w:val="lowKashida"/>
        <w:rPr>
          <w:rFonts w:asciiTheme="majorBidi" w:hAnsiTheme="majorBidi" w:cstheme="majorBidi"/>
          <w:b/>
          <w:bCs/>
        </w:rPr>
      </w:pPr>
    </w:p>
    <w:p w:rsidR="007E0358" w:rsidRDefault="007E0358" w:rsidP="00707EA6">
      <w:pPr>
        <w:pStyle w:val="Default"/>
        <w:jc w:val="lowKashida"/>
        <w:rPr>
          <w:rFonts w:asciiTheme="majorBidi" w:hAnsiTheme="majorBidi" w:cstheme="majorBidi"/>
          <w:b/>
          <w:bCs/>
        </w:rPr>
      </w:pPr>
    </w:p>
    <w:p w:rsidR="003219D1" w:rsidRPr="00707EA6" w:rsidRDefault="00B17B42" w:rsidP="007E0358">
      <w:pPr>
        <w:pStyle w:val="NormalWeb"/>
        <w:numPr>
          <w:ilvl w:val="0"/>
          <w:numId w:val="7"/>
        </w:numPr>
        <w:shd w:val="clear" w:color="auto" w:fill="FFFFFF"/>
        <w:spacing w:before="0" w:beforeAutospacing="0" w:after="144" w:afterAutospacing="0"/>
        <w:jc w:val="lowKashida"/>
        <w:rPr>
          <w:rFonts w:asciiTheme="majorBidi" w:hAnsiTheme="majorBidi" w:cstheme="majorBidi"/>
          <w:b/>
          <w:bCs/>
        </w:rPr>
      </w:pPr>
      <w:r w:rsidRPr="007E0358">
        <w:rPr>
          <w:rFonts w:asciiTheme="majorBidi" w:hAnsiTheme="majorBidi" w:cstheme="majorBidi"/>
          <w:b/>
        </w:rPr>
        <w:t>Results</w:t>
      </w:r>
      <w:r w:rsidRPr="00707EA6">
        <w:rPr>
          <w:rFonts w:asciiTheme="majorBidi" w:hAnsiTheme="majorBidi" w:cstheme="majorBidi"/>
          <w:b/>
          <w:bCs/>
        </w:rPr>
        <w:t xml:space="preserve"> and discussion </w:t>
      </w:r>
    </w:p>
    <w:p w:rsidR="00CD49E7" w:rsidRPr="00707EA6" w:rsidRDefault="00CD49E7" w:rsidP="00CF3DFC">
      <w:pPr>
        <w:spacing w:before="240" w:line="240" w:lineRule="auto"/>
        <w:jc w:val="center"/>
        <w:rPr>
          <w:rFonts w:asciiTheme="majorBidi" w:hAnsiTheme="majorBidi" w:cstheme="majorBidi"/>
          <w:color w:val="FF0000"/>
          <w:sz w:val="24"/>
          <w:szCs w:val="24"/>
        </w:rPr>
      </w:pPr>
      <w:r w:rsidRPr="00707EA6">
        <w:rPr>
          <w:rFonts w:asciiTheme="majorBidi" w:hAnsiTheme="majorBidi" w:cstheme="majorBidi"/>
          <w:noProof/>
          <w:color w:val="FF0000"/>
          <w:sz w:val="24"/>
          <w:szCs w:val="24"/>
        </w:rPr>
        <w:lastRenderedPageBreak/>
        <w:drawing>
          <wp:inline distT="0" distB="0" distL="0" distR="0" wp14:anchorId="7FD9D6D4" wp14:editId="63138504">
            <wp:extent cx="5295900" cy="2019300"/>
            <wp:effectExtent l="0" t="0" r="0" b="0"/>
            <wp:docPr id="2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D49E7" w:rsidRDefault="00CF3DFC" w:rsidP="00B62D3E">
      <w:pPr>
        <w:spacing w:after="0" w:line="240" w:lineRule="auto"/>
        <w:jc w:val="lowKashida"/>
        <w:rPr>
          <w:rFonts w:asciiTheme="majorBidi" w:hAnsiTheme="majorBidi" w:cstheme="majorBidi"/>
          <w:b/>
          <w:bCs/>
          <w:sz w:val="24"/>
          <w:szCs w:val="24"/>
        </w:rPr>
      </w:pPr>
      <w:r>
        <w:rPr>
          <w:rFonts w:asciiTheme="majorBidi" w:hAnsiTheme="majorBidi" w:cstheme="majorBidi"/>
          <w:b/>
          <w:bCs/>
          <w:sz w:val="24"/>
          <w:szCs w:val="24"/>
        </w:rPr>
        <w:t>Figure</w:t>
      </w:r>
      <w:r w:rsidR="00411ABD">
        <w:rPr>
          <w:rFonts w:asciiTheme="majorBidi" w:hAnsiTheme="majorBidi" w:cstheme="majorBidi"/>
          <w:b/>
          <w:bCs/>
          <w:sz w:val="24"/>
          <w:szCs w:val="24"/>
        </w:rPr>
        <w:t xml:space="preserve">1. </w:t>
      </w:r>
      <w:r w:rsidRPr="00707EA6">
        <w:rPr>
          <w:rFonts w:asciiTheme="majorBidi" w:hAnsiTheme="majorBidi" w:cstheme="majorBidi"/>
          <w:b/>
          <w:bCs/>
          <w:sz w:val="24"/>
          <w:szCs w:val="24"/>
        </w:rPr>
        <w:t>Shows</w:t>
      </w:r>
      <w:r w:rsidR="00CD49E7" w:rsidRPr="00707EA6">
        <w:rPr>
          <w:rFonts w:asciiTheme="majorBidi" w:hAnsiTheme="majorBidi" w:cstheme="majorBidi"/>
          <w:b/>
          <w:bCs/>
          <w:sz w:val="24"/>
          <w:szCs w:val="24"/>
        </w:rPr>
        <w:t xml:space="preserve"> the correlation between the total GFR in ml/min</w:t>
      </w:r>
      <w:r w:rsidR="00CD49E7" w:rsidRPr="00707EA6">
        <w:rPr>
          <w:rFonts w:asciiTheme="majorBidi" w:hAnsiTheme="majorBidi" w:cstheme="majorBidi"/>
          <w:sz w:val="24"/>
          <w:szCs w:val="24"/>
        </w:rPr>
        <w:t xml:space="preserve"> </w:t>
      </w:r>
      <w:r w:rsidR="00CD49E7" w:rsidRPr="00707EA6">
        <w:rPr>
          <w:rFonts w:asciiTheme="majorBidi" w:hAnsiTheme="majorBidi" w:cstheme="majorBidi"/>
          <w:b/>
          <w:bCs/>
          <w:sz w:val="24"/>
          <w:szCs w:val="24"/>
        </w:rPr>
        <w:t>versus number of cycle for chemotherapy patient.</w:t>
      </w:r>
    </w:p>
    <w:p w:rsidR="00B62D3E" w:rsidRDefault="00B62D3E" w:rsidP="00B62D3E">
      <w:pPr>
        <w:spacing w:after="0" w:line="240" w:lineRule="auto"/>
        <w:jc w:val="lowKashida"/>
        <w:rPr>
          <w:rFonts w:asciiTheme="majorBidi" w:hAnsiTheme="majorBidi" w:cstheme="majorBidi"/>
          <w:b/>
          <w:bCs/>
          <w:sz w:val="24"/>
          <w:szCs w:val="24"/>
        </w:rPr>
      </w:pPr>
    </w:p>
    <w:p w:rsidR="00B62D3E" w:rsidRPr="00CF3DFC" w:rsidRDefault="00021D9E" w:rsidP="008D38B9">
      <w:pPr>
        <w:spacing w:after="0" w:line="240" w:lineRule="auto"/>
        <w:jc w:val="lowKashida"/>
        <w:rPr>
          <w:rFonts w:asciiTheme="majorBidi" w:hAnsiTheme="majorBidi" w:cstheme="majorBidi"/>
          <w:sz w:val="24"/>
          <w:szCs w:val="24"/>
        </w:rPr>
      </w:pPr>
      <w:r>
        <w:rPr>
          <w:rFonts w:asciiTheme="majorBidi" w:hAnsiTheme="majorBidi" w:cstheme="majorBidi"/>
          <w:sz w:val="24"/>
          <w:szCs w:val="24"/>
        </w:rPr>
        <w:t>F</w:t>
      </w:r>
      <w:r w:rsidR="00B62D3E">
        <w:rPr>
          <w:rFonts w:asciiTheme="majorBidi" w:hAnsiTheme="majorBidi" w:cstheme="majorBidi"/>
          <w:sz w:val="24"/>
          <w:szCs w:val="24"/>
        </w:rPr>
        <w:t xml:space="preserve">igure 1 </w:t>
      </w:r>
      <w:r w:rsidR="008D38B9">
        <w:rPr>
          <w:rFonts w:asciiTheme="majorBidi" w:hAnsiTheme="majorBidi" w:cstheme="majorBidi"/>
          <w:sz w:val="24"/>
          <w:szCs w:val="24"/>
        </w:rPr>
        <w:t xml:space="preserve">shows there </w:t>
      </w:r>
      <w:r w:rsidR="008D38B9" w:rsidRPr="008D38B9">
        <w:rPr>
          <w:rFonts w:asciiTheme="majorBidi" w:hAnsiTheme="majorBidi" w:cstheme="majorBidi"/>
          <w:sz w:val="24"/>
          <w:szCs w:val="24"/>
        </w:rPr>
        <w:t>was a linear regression between</w:t>
      </w:r>
      <w:r w:rsidR="008D38B9">
        <w:t xml:space="preserve"> </w:t>
      </w:r>
      <w:r w:rsidR="00B62D3E">
        <w:rPr>
          <w:rFonts w:asciiTheme="majorBidi" w:hAnsiTheme="majorBidi" w:cstheme="majorBidi"/>
          <w:sz w:val="24"/>
          <w:szCs w:val="24"/>
        </w:rPr>
        <w:t xml:space="preserve"> </w:t>
      </w:r>
      <w:r w:rsidR="00B62D3E" w:rsidRPr="00707EA6">
        <w:rPr>
          <w:rFonts w:asciiTheme="majorBidi" w:hAnsiTheme="majorBidi" w:cstheme="majorBidi"/>
          <w:sz w:val="24"/>
          <w:szCs w:val="24"/>
        </w:rPr>
        <w:t xml:space="preserve">the </w:t>
      </w:r>
      <w:r w:rsidR="008D38B9">
        <w:rPr>
          <w:rFonts w:asciiTheme="majorBidi" w:hAnsiTheme="majorBidi" w:cstheme="majorBidi"/>
          <w:sz w:val="24"/>
          <w:szCs w:val="24"/>
        </w:rPr>
        <w:t xml:space="preserve">number of chemotherapy cycle and </w:t>
      </w:r>
      <w:r w:rsidR="00B62D3E" w:rsidRPr="00707EA6">
        <w:rPr>
          <w:rFonts w:asciiTheme="majorBidi" w:hAnsiTheme="majorBidi" w:cstheme="majorBidi"/>
          <w:sz w:val="24"/>
          <w:szCs w:val="24"/>
        </w:rPr>
        <w:t>GFR values in general reduced by 9.</w:t>
      </w:r>
      <w:r w:rsidR="00B62D3E">
        <w:rPr>
          <w:rFonts w:asciiTheme="majorBidi" w:hAnsiTheme="majorBidi" w:cstheme="majorBidi"/>
          <w:sz w:val="24"/>
          <w:szCs w:val="24"/>
        </w:rPr>
        <w:t>787</w:t>
      </w:r>
      <w:r w:rsidR="00B62D3E" w:rsidRPr="00707EA6">
        <w:rPr>
          <w:rFonts w:asciiTheme="majorBidi" w:hAnsiTheme="majorBidi" w:cstheme="majorBidi"/>
          <w:sz w:val="24"/>
          <w:szCs w:val="24"/>
        </w:rPr>
        <w:t xml:space="preserve"> ml/min per cycle; this reduction can be estimated by the following equation: </w:t>
      </w:r>
      <w:r w:rsidR="00B62D3E" w:rsidRPr="00CF3DFC">
        <w:rPr>
          <w:rFonts w:asciiTheme="majorBidi" w:hAnsiTheme="majorBidi" w:cstheme="majorBidi"/>
          <w:sz w:val="24"/>
          <w:szCs w:val="24"/>
        </w:rPr>
        <w:t>G</w:t>
      </w:r>
      <w:r w:rsidR="00CF3DFC" w:rsidRPr="00CF3DFC">
        <w:rPr>
          <w:rFonts w:asciiTheme="majorBidi" w:hAnsiTheme="majorBidi" w:cstheme="majorBidi"/>
          <w:sz w:val="24"/>
          <w:szCs w:val="24"/>
        </w:rPr>
        <w:t>FR = (- 9.787 × cycles) +113.8</w:t>
      </w:r>
    </w:p>
    <w:p w:rsidR="00411ABD" w:rsidRPr="00707EA6" w:rsidRDefault="00411ABD" w:rsidP="00707EA6">
      <w:pPr>
        <w:spacing w:after="0" w:line="240" w:lineRule="auto"/>
        <w:jc w:val="lowKashida"/>
        <w:rPr>
          <w:rFonts w:asciiTheme="majorBidi" w:hAnsiTheme="majorBidi" w:cstheme="majorBidi"/>
          <w:b/>
          <w:bCs/>
          <w:sz w:val="24"/>
          <w:szCs w:val="24"/>
        </w:rPr>
      </w:pPr>
    </w:p>
    <w:p w:rsidR="00CD49E7" w:rsidRPr="00707EA6" w:rsidRDefault="00CD49E7" w:rsidP="00CF3DFC">
      <w:pPr>
        <w:spacing w:after="0" w:line="240" w:lineRule="auto"/>
        <w:jc w:val="center"/>
        <w:rPr>
          <w:rFonts w:asciiTheme="majorBidi" w:hAnsiTheme="majorBidi" w:cstheme="majorBidi"/>
          <w:sz w:val="24"/>
          <w:szCs w:val="24"/>
        </w:rPr>
      </w:pPr>
      <w:r w:rsidRPr="00707EA6">
        <w:rPr>
          <w:rFonts w:asciiTheme="majorBidi" w:hAnsiTheme="majorBidi" w:cstheme="majorBidi"/>
          <w:b/>
          <w:bCs/>
          <w:noProof/>
          <w:sz w:val="24"/>
          <w:szCs w:val="24"/>
        </w:rPr>
        <w:drawing>
          <wp:inline distT="0" distB="0" distL="0" distR="0">
            <wp:extent cx="6010275" cy="2152650"/>
            <wp:effectExtent l="0" t="0" r="0" b="0"/>
            <wp:docPr id="2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11ABD" w:rsidRDefault="00411ABD" w:rsidP="00707EA6">
      <w:pPr>
        <w:spacing w:after="0" w:line="240" w:lineRule="auto"/>
        <w:jc w:val="lowKashida"/>
        <w:rPr>
          <w:rFonts w:asciiTheme="majorBidi" w:hAnsiTheme="majorBidi" w:cstheme="majorBidi"/>
          <w:b/>
          <w:bCs/>
          <w:sz w:val="24"/>
          <w:szCs w:val="24"/>
        </w:rPr>
      </w:pPr>
    </w:p>
    <w:p w:rsidR="00411ABD" w:rsidRDefault="00411ABD" w:rsidP="00707EA6">
      <w:pPr>
        <w:spacing w:after="0" w:line="240" w:lineRule="auto"/>
        <w:jc w:val="lowKashida"/>
        <w:rPr>
          <w:rFonts w:asciiTheme="majorBidi" w:hAnsiTheme="majorBidi" w:cstheme="majorBidi"/>
          <w:b/>
          <w:bCs/>
          <w:sz w:val="24"/>
          <w:szCs w:val="24"/>
        </w:rPr>
      </w:pPr>
    </w:p>
    <w:p w:rsidR="00CD49E7" w:rsidRDefault="00524483" w:rsidP="00CF3DFC">
      <w:pPr>
        <w:spacing w:after="0" w:line="240" w:lineRule="auto"/>
        <w:jc w:val="lowKashida"/>
        <w:rPr>
          <w:rFonts w:asciiTheme="majorBidi" w:hAnsiTheme="majorBidi" w:cstheme="majorBidi"/>
          <w:b/>
          <w:bCs/>
          <w:sz w:val="24"/>
          <w:szCs w:val="24"/>
        </w:rPr>
      </w:pPr>
      <w:r w:rsidRPr="00707EA6">
        <w:rPr>
          <w:rFonts w:asciiTheme="majorBidi" w:hAnsiTheme="majorBidi" w:cstheme="majorBidi"/>
          <w:b/>
          <w:bCs/>
          <w:sz w:val="24"/>
          <w:szCs w:val="24"/>
        </w:rPr>
        <w:t>Figure 2</w:t>
      </w:r>
      <w:r w:rsidR="00CD49E7" w:rsidRPr="00707EA6">
        <w:rPr>
          <w:rFonts w:asciiTheme="majorBidi" w:hAnsiTheme="majorBidi" w:cstheme="majorBidi"/>
          <w:b/>
          <w:bCs/>
          <w:sz w:val="24"/>
          <w:szCs w:val="24"/>
        </w:rPr>
        <w:t xml:space="preserve"> shows the correlation between the serum creatinine clearances in ml/min</w:t>
      </w:r>
      <w:r w:rsidR="00CD49E7" w:rsidRPr="00707EA6">
        <w:rPr>
          <w:rFonts w:asciiTheme="majorBidi" w:hAnsiTheme="majorBidi" w:cstheme="majorBidi"/>
          <w:sz w:val="24"/>
          <w:szCs w:val="24"/>
        </w:rPr>
        <w:t xml:space="preserve"> </w:t>
      </w:r>
      <w:r w:rsidR="00CD49E7" w:rsidRPr="00707EA6">
        <w:rPr>
          <w:rFonts w:asciiTheme="majorBidi" w:hAnsiTheme="majorBidi" w:cstheme="majorBidi"/>
          <w:b/>
          <w:bCs/>
          <w:sz w:val="24"/>
          <w:szCs w:val="24"/>
        </w:rPr>
        <w:t>versus number of cycles for chemotherapy patient.</w:t>
      </w:r>
    </w:p>
    <w:p w:rsidR="00CF3DFC" w:rsidRDefault="00021D9E" w:rsidP="008D38B9">
      <w:pPr>
        <w:spacing w:after="0" w:line="240" w:lineRule="auto"/>
        <w:jc w:val="lowKashida"/>
        <w:rPr>
          <w:rFonts w:asciiTheme="majorBidi" w:hAnsiTheme="majorBidi" w:cstheme="majorBidi"/>
          <w:sz w:val="24"/>
          <w:szCs w:val="24"/>
        </w:rPr>
      </w:pPr>
      <w:r>
        <w:rPr>
          <w:rFonts w:asciiTheme="majorBidi" w:hAnsiTheme="majorBidi" w:cstheme="majorBidi"/>
          <w:sz w:val="24"/>
          <w:szCs w:val="24"/>
        </w:rPr>
        <w:t>F</w:t>
      </w:r>
      <w:r w:rsidR="00CF3DFC">
        <w:rPr>
          <w:rFonts w:asciiTheme="majorBidi" w:hAnsiTheme="majorBidi" w:cstheme="majorBidi"/>
          <w:sz w:val="24"/>
          <w:szCs w:val="24"/>
        </w:rPr>
        <w:t xml:space="preserve">igure 2 </w:t>
      </w:r>
      <w:r w:rsidR="008D38B9">
        <w:rPr>
          <w:rFonts w:asciiTheme="majorBidi" w:hAnsiTheme="majorBidi" w:cstheme="majorBidi"/>
          <w:sz w:val="24"/>
          <w:szCs w:val="24"/>
        </w:rPr>
        <w:t xml:space="preserve">shows there </w:t>
      </w:r>
      <w:r w:rsidR="008D38B9" w:rsidRPr="008D38B9">
        <w:rPr>
          <w:rFonts w:asciiTheme="majorBidi" w:hAnsiTheme="majorBidi" w:cstheme="majorBidi"/>
          <w:sz w:val="24"/>
          <w:szCs w:val="24"/>
        </w:rPr>
        <w:t>was a linear regression between</w:t>
      </w:r>
      <w:r w:rsidR="008D38B9">
        <w:t xml:space="preserve"> </w:t>
      </w:r>
      <w:r w:rsidR="008D38B9">
        <w:rPr>
          <w:rFonts w:asciiTheme="majorBidi" w:hAnsiTheme="majorBidi" w:cstheme="majorBidi"/>
          <w:sz w:val="24"/>
          <w:szCs w:val="24"/>
        </w:rPr>
        <w:t>the</w:t>
      </w:r>
      <w:r w:rsidR="008D38B9" w:rsidRPr="00707EA6">
        <w:rPr>
          <w:rFonts w:asciiTheme="majorBidi" w:hAnsiTheme="majorBidi" w:cstheme="majorBidi"/>
          <w:sz w:val="24"/>
          <w:szCs w:val="24"/>
        </w:rPr>
        <w:t xml:space="preserve"> </w:t>
      </w:r>
      <w:r w:rsidR="008D38B9">
        <w:rPr>
          <w:rFonts w:asciiTheme="majorBidi" w:hAnsiTheme="majorBidi" w:cstheme="majorBidi"/>
          <w:sz w:val="24"/>
          <w:szCs w:val="24"/>
        </w:rPr>
        <w:t>numbers of chemotherapy cycle and Serum</w:t>
      </w:r>
      <w:r w:rsidR="00CF3DFC" w:rsidRPr="00707EA6">
        <w:rPr>
          <w:rFonts w:asciiTheme="majorBidi" w:hAnsiTheme="majorBidi" w:cstheme="majorBidi"/>
          <w:sz w:val="24"/>
          <w:szCs w:val="24"/>
        </w:rPr>
        <w:t xml:space="preserve"> creatinine. The Serum creatinine level reduced by 3.</w:t>
      </w:r>
      <w:r w:rsidR="00CF3DFC">
        <w:rPr>
          <w:rFonts w:asciiTheme="majorBidi" w:hAnsiTheme="majorBidi" w:cstheme="majorBidi"/>
          <w:sz w:val="24"/>
          <w:szCs w:val="24"/>
        </w:rPr>
        <w:t>655</w:t>
      </w:r>
      <w:r w:rsidR="00CF3DFC" w:rsidRPr="00707EA6">
        <w:rPr>
          <w:rFonts w:asciiTheme="majorBidi" w:hAnsiTheme="majorBidi" w:cstheme="majorBidi"/>
          <w:sz w:val="24"/>
          <w:szCs w:val="24"/>
        </w:rPr>
        <w:t xml:space="preserve"> ml/min per cycle, where it can be calculated as follows: </w:t>
      </w:r>
      <w:r w:rsidR="00CF3DFC" w:rsidRPr="00CF3DFC">
        <w:rPr>
          <w:rFonts w:asciiTheme="majorBidi" w:hAnsiTheme="majorBidi" w:cstheme="majorBidi"/>
          <w:sz w:val="24"/>
          <w:szCs w:val="24"/>
        </w:rPr>
        <w:t>Creatinine clearance = (- 3.655 × cycles) +94.2</w:t>
      </w:r>
    </w:p>
    <w:p w:rsidR="00CF3DFC" w:rsidRPr="00707EA6" w:rsidRDefault="00CF3DFC" w:rsidP="00CF3DFC">
      <w:pPr>
        <w:spacing w:after="0" w:line="240" w:lineRule="auto"/>
        <w:jc w:val="lowKashida"/>
        <w:rPr>
          <w:rFonts w:asciiTheme="majorBidi" w:hAnsiTheme="majorBidi" w:cstheme="majorBidi"/>
          <w:sz w:val="24"/>
          <w:szCs w:val="24"/>
        </w:rPr>
      </w:pPr>
    </w:p>
    <w:p w:rsidR="003219D1" w:rsidRPr="00707EA6" w:rsidRDefault="00097CA2" w:rsidP="00707EA6">
      <w:pPr>
        <w:spacing w:after="0" w:line="240" w:lineRule="auto"/>
        <w:jc w:val="lowKashida"/>
        <w:rPr>
          <w:rFonts w:asciiTheme="majorBidi" w:hAnsiTheme="majorBidi" w:cstheme="majorBidi"/>
          <w:sz w:val="24"/>
          <w:szCs w:val="24"/>
        </w:rPr>
      </w:pPr>
      <w:r w:rsidRPr="00707EA6">
        <w:rPr>
          <w:rFonts w:asciiTheme="majorBidi" w:hAnsiTheme="majorBidi" w:cstheme="majorBidi"/>
          <w:noProof/>
          <w:sz w:val="24"/>
          <w:szCs w:val="24"/>
        </w:rPr>
        <w:lastRenderedPageBreak/>
        <w:drawing>
          <wp:inline distT="0" distB="0" distL="0" distR="0">
            <wp:extent cx="5943600" cy="3076575"/>
            <wp:effectExtent l="0" t="0" r="0" b="0"/>
            <wp:docPr id="27"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11ABD" w:rsidRDefault="00411ABD" w:rsidP="00707EA6">
      <w:pPr>
        <w:spacing w:after="0" w:line="240" w:lineRule="auto"/>
        <w:jc w:val="lowKashida"/>
        <w:rPr>
          <w:rFonts w:asciiTheme="majorBidi" w:hAnsiTheme="majorBidi" w:cstheme="majorBidi"/>
          <w:b/>
          <w:bCs/>
          <w:sz w:val="24"/>
          <w:szCs w:val="24"/>
        </w:rPr>
      </w:pPr>
    </w:p>
    <w:p w:rsidR="00097CA2" w:rsidRDefault="002162F8" w:rsidP="00707EA6">
      <w:pPr>
        <w:spacing w:after="0" w:line="240" w:lineRule="auto"/>
        <w:jc w:val="lowKashida"/>
        <w:rPr>
          <w:rFonts w:asciiTheme="majorBidi" w:hAnsiTheme="majorBidi" w:cstheme="majorBidi"/>
          <w:b/>
          <w:bCs/>
          <w:sz w:val="24"/>
          <w:szCs w:val="24"/>
        </w:rPr>
      </w:pPr>
      <w:r>
        <w:rPr>
          <w:rFonts w:asciiTheme="majorBidi" w:hAnsiTheme="majorBidi" w:cstheme="majorBidi"/>
          <w:b/>
          <w:bCs/>
          <w:sz w:val="24"/>
          <w:szCs w:val="24"/>
        </w:rPr>
        <w:t xml:space="preserve">Figure </w:t>
      </w:r>
      <w:r w:rsidR="00883FDA" w:rsidRPr="00707EA6">
        <w:rPr>
          <w:rFonts w:asciiTheme="majorBidi" w:hAnsiTheme="majorBidi" w:cstheme="majorBidi"/>
          <w:b/>
          <w:bCs/>
          <w:sz w:val="24"/>
          <w:szCs w:val="24"/>
        </w:rPr>
        <w:t>3</w:t>
      </w:r>
      <w:r w:rsidR="00097CA2" w:rsidRPr="00707EA6">
        <w:rPr>
          <w:rFonts w:asciiTheme="majorBidi" w:hAnsiTheme="majorBidi" w:cstheme="majorBidi"/>
          <w:b/>
          <w:bCs/>
          <w:sz w:val="24"/>
          <w:szCs w:val="24"/>
        </w:rPr>
        <w:t xml:space="preserve"> shows the correlation between the GFR in ml/min values before chemotherapy versus GFR in ml/min values after chemotherapy.</w:t>
      </w:r>
    </w:p>
    <w:p w:rsidR="008D38B9" w:rsidRDefault="008D38B9" w:rsidP="00707EA6">
      <w:pPr>
        <w:spacing w:after="0" w:line="240" w:lineRule="auto"/>
        <w:jc w:val="lowKashida"/>
        <w:rPr>
          <w:rFonts w:asciiTheme="majorBidi" w:hAnsiTheme="majorBidi" w:cstheme="majorBidi"/>
          <w:b/>
          <w:bCs/>
          <w:sz w:val="24"/>
          <w:szCs w:val="24"/>
        </w:rPr>
      </w:pPr>
    </w:p>
    <w:p w:rsidR="00411ABD" w:rsidRPr="00112F1B" w:rsidRDefault="00021D9E" w:rsidP="00112F1B">
      <w:pPr>
        <w:spacing w:after="0" w:line="240" w:lineRule="auto"/>
        <w:jc w:val="lowKashida"/>
        <w:rPr>
          <w:rFonts w:asciiTheme="majorBidi" w:hAnsiTheme="majorBidi" w:cstheme="majorBidi"/>
          <w:b/>
          <w:bCs/>
          <w:sz w:val="24"/>
          <w:szCs w:val="24"/>
        </w:rPr>
      </w:pPr>
      <w:r w:rsidRPr="00112F1B">
        <w:rPr>
          <w:rFonts w:asciiTheme="majorBidi" w:hAnsiTheme="majorBidi" w:cstheme="majorBidi"/>
          <w:sz w:val="24"/>
          <w:szCs w:val="24"/>
        </w:rPr>
        <w:t>F</w:t>
      </w:r>
      <w:r w:rsidR="008D38B9" w:rsidRPr="00112F1B">
        <w:rPr>
          <w:rFonts w:asciiTheme="majorBidi" w:hAnsiTheme="majorBidi" w:cstheme="majorBidi"/>
          <w:sz w:val="24"/>
          <w:szCs w:val="24"/>
        </w:rPr>
        <w:t>igure 3</w:t>
      </w:r>
      <w:r w:rsidR="008D38B9">
        <w:rPr>
          <w:rFonts w:asciiTheme="majorBidi" w:hAnsiTheme="majorBidi" w:cstheme="majorBidi"/>
          <w:b/>
          <w:bCs/>
          <w:sz w:val="24"/>
          <w:szCs w:val="24"/>
        </w:rPr>
        <w:t xml:space="preserve"> </w:t>
      </w:r>
      <w:r w:rsidR="00112F1B">
        <w:rPr>
          <w:rFonts w:asciiTheme="majorBidi" w:hAnsiTheme="majorBidi" w:cstheme="majorBidi"/>
          <w:sz w:val="24"/>
          <w:szCs w:val="24"/>
        </w:rPr>
        <w:t xml:space="preserve">shows there </w:t>
      </w:r>
      <w:r w:rsidR="00112F1B" w:rsidRPr="008D38B9">
        <w:rPr>
          <w:rFonts w:asciiTheme="majorBidi" w:hAnsiTheme="majorBidi" w:cstheme="majorBidi"/>
          <w:sz w:val="24"/>
          <w:szCs w:val="24"/>
        </w:rPr>
        <w:t>was a linear regression between</w:t>
      </w:r>
      <w:r w:rsidR="00112F1B">
        <w:t xml:space="preserve"> </w:t>
      </w:r>
      <w:r w:rsidR="00112F1B">
        <w:rPr>
          <w:rFonts w:asciiTheme="majorBidi" w:hAnsiTheme="majorBidi" w:cstheme="majorBidi"/>
          <w:sz w:val="24"/>
          <w:szCs w:val="24"/>
        </w:rPr>
        <w:t>the</w:t>
      </w:r>
      <w:r w:rsidR="00112F1B" w:rsidRPr="00707EA6">
        <w:rPr>
          <w:rFonts w:asciiTheme="majorBidi" w:hAnsiTheme="majorBidi" w:cstheme="majorBidi"/>
          <w:sz w:val="24"/>
          <w:szCs w:val="24"/>
        </w:rPr>
        <w:t xml:space="preserve"> </w:t>
      </w:r>
      <w:r w:rsidR="00112F1B">
        <w:rPr>
          <w:rFonts w:asciiTheme="majorBidi" w:hAnsiTheme="majorBidi" w:cstheme="majorBidi"/>
          <w:sz w:val="24"/>
          <w:szCs w:val="24"/>
        </w:rPr>
        <w:t>GFR before chemotherapy and GFR after chemotherapy.</w:t>
      </w:r>
      <w:r w:rsidR="00112F1B" w:rsidRPr="00707EA6">
        <w:rPr>
          <w:rFonts w:asciiTheme="majorBidi" w:hAnsiTheme="majorBidi" w:cstheme="majorBidi"/>
          <w:sz w:val="24"/>
          <w:szCs w:val="24"/>
        </w:rPr>
        <w:t xml:space="preserve"> The</w:t>
      </w:r>
      <w:r w:rsidR="008D38B9" w:rsidRPr="00707EA6">
        <w:rPr>
          <w:rFonts w:asciiTheme="majorBidi" w:hAnsiTheme="majorBidi" w:cstheme="majorBidi"/>
          <w:sz w:val="24"/>
          <w:szCs w:val="24"/>
        </w:rPr>
        <w:t xml:space="preserve"> reduction of GFR by a factor of 0.83 where it can be given by the following equation: </w:t>
      </w:r>
      <w:r w:rsidR="008D38B9" w:rsidRPr="00112F1B">
        <w:rPr>
          <w:rFonts w:asciiTheme="majorBidi" w:hAnsiTheme="majorBidi" w:cstheme="majorBidi"/>
          <w:sz w:val="24"/>
          <w:szCs w:val="24"/>
        </w:rPr>
        <w:t>GFR before = (0.833× GFR after) -1.378</w:t>
      </w:r>
    </w:p>
    <w:p w:rsidR="00097CA2" w:rsidRPr="00707EA6" w:rsidRDefault="00097CA2" w:rsidP="00707EA6">
      <w:pPr>
        <w:spacing w:after="0" w:line="240" w:lineRule="auto"/>
        <w:jc w:val="lowKashida"/>
        <w:rPr>
          <w:rFonts w:asciiTheme="majorBidi" w:hAnsiTheme="majorBidi" w:cstheme="majorBidi"/>
          <w:sz w:val="24"/>
          <w:szCs w:val="24"/>
        </w:rPr>
      </w:pPr>
    </w:p>
    <w:p w:rsidR="003219D1" w:rsidRPr="00707EA6" w:rsidRDefault="00097CA2" w:rsidP="00707EA6">
      <w:pPr>
        <w:spacing w:after="0" w:line="240" w:lineRule="auto"/>
        <w:jc w:val="lowKashida"/>
        <w:rPr>
          <w:rFonts w:asciiTheme="majorBidi" w:hAnsiTheme="majorBidi" w:cstheme="majorBidi"/>
          <w:sz w:val="24"/>
          <w:szCs w:val="24"/>
        </w:rPr>
      </w:pPr>
      <w:r w:rsidRPr="00707EA6">
        <w:rPr>
          <w:rFonts w:asciiTheme="majorBidi" w:hAnsiTheme="majorBidi" w:cstheme="majorBidi"/>
          <w:noProof/>
          <w:sz w:val="24"/>
          <w:szCs w:val="24"/>
        </w:rPr>
        <w:drawing>
          <wp:inline distT="0" distB="0" distL="0" distR="0">
            <wp:extent cx="5943600" cy="2762250"/>
            <wp:effectExtent l="0" t="0" r="0" b="0"/>
            <wp:docPr id="2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97CA2" w:rsidRPr="00707EA6" w:rsidRDefault="00883FDA" w:rsidP="00021D9E">
      <w:pPr>
        <w:spacing w:after="0" w:line="240" w:lineRule="auto"/>
        <w:jc w:val="lowKashida"/>
        <w:rPr>
          <w:rFonts w:asciiTheme="majorBidi" w:hAnsiTheme="majorBidi" w:cstheme="majorBidi"/>
          <w:sz w:val="24"/>
          <w:szCs w:val="24"/>
        </w:rPr>
      </w:pPr>
      <w:r w:rsidRPr="00707EA6">
        <w:rPr>
          <w:rFonts w:asciiTheme="majorBidi" w:hAnsiTheme="majorBidi" w:cstheme="majorBidi"/>
          <w:b/>
          <w:bCs/>
          <w:sz w:val="24"/>
          <w:szCs w:val="24"/>
        </w:rPr>
        <w:t>Figure 4</w:t>
      </w:r>
      <w:r w:rsidR="00097CA2" w:rsidRPr="00707EA6">
        <w:rPr>
          <w:rFonts w:asciiTheme="majorBidi" w:hAnsiTheme="majorBidi" w:cstheme="majorBidi"/>
          <w:b/>
          <w:bCs/>
          <w:sz w:val="24"/>
          <w:szCs w:val="24"/>
        </w:rPr>
        <w:t xml:space="preserve"> shows the correlation between the creatinine clearances in ml/min before chemotherapy versus creatinine clearances in ml/min values after chemotherapy.</w:t>
      </w:r>
    </w:p>
    <w:p w:rsidR="003219D1" w:rsidRDefault="003219D1" w:rsidP="00707EA6">
      <w:pPr>
        <w:spacing w:after="0" w:line="240" w:lineRule="auto"/>
        <w:jc w:val="lowKashida"/>
        <w:rPr>
          <w:rFonts w:asciiTheme="majorBidi" w:hAnsiTheme="majorBidi" w:cstheme="majorBidi"/>
          <w:sz w:val="24"/>
          <w:szCs w:val="24"/>
        </w:rPr>
      </w:pPr>
    </w:p>
    <w:p w:rsidR="00021D9E" w:rsidRPr="00707EA6" w:rsidRDefault="00F825FB" w:rsidP="00F825FB">
      <w:pPr>
        <w:spacing w:after="0" w:line="240" w:lineRule="auto"/>
        <w:jc w:val="lowKashida"/>
        <w:rPr>
          <w:rFonts w:asciiTheme="majorBidi" w:hAnsiTheme="majorBidi" w:cstheme="majorBidi"/>
          <w:sz w:val="24"/>
          <w:szCs w:val="24"/>
        </w:rPr>
      </w:pPr>
      <w:r>
        <w:rPr>
          <w:rFonts w:asciiTheme="majorBidi" w:hAnsiTheme="majorBidi" w:cstheme="majorBidi"/>
          <w:sz w:val="24"/>
          <w:szCs w:val="24"/>
        </w:rPr>
        <w:t xml:space="preserve">Figure 4 shows </w:t>
      </w:r>
      <w:r w:rsidRPr="008D38B9">
        <w:rPr>
          <w:rFonts w:asciiTheme="majorBidi" w:hAnsiTheme="majorBidi" w:cstheme="majorBidi"/>
          <w:sz w:val="24"/>
          <w:szCs w:val="24"/>
        </w:rPr>
        <w:t>was a linear regression between</w:t>
      </w:r>
      <w:r>
        <w:rPr>
          <w:rFonts w:asciiTheme="majorBidi" w:hAnsiTheme="majorBidi" w:cstheme="majorBidi"/>
          <w:sz w:val="24"/>
          <w:szCs w:val="24"/>
        </w:rPr>
        <w:t xml:space="preserve"> </w:t>
      </w:r>
      <w:r w:rsidRPr="00707EA6">
        <w:rPr>
          <w:rFonts w:asciiTheme="majorBidi" w:hAnsiTheme="majorBidi" w:cstheme="majorBidi"/>
          <w:sz w:val="24"/>
          <w:szCs w:val="24"/>
        </w:rPr>
        <w:t>creatinine clearances</w:t>
      </w:r>
      <w:r>
        <w:rPr>
          <w:rFonts w:asciiTheme="majorBidi" w:hAnsiTheme="majorBidi" w:cstheme="majorBidi"/>
          <w:sz w:val="24"/>
          <w:szCs w:val="24"/>
        </w:rPr>
        <w:t xml:space="preserve"> before chemotherapy and </w:t>
      </w:r>
      <w:r w:rsidRPr="00707EA6">
        <w:rPr>
          <w:rFonts w:asciiTheme="majorBidi" w:hAnsiTheme="majorBidi" w:cstheme="majorBidi"/>
          <w:sz w:val="24"/>
          <w:szCs w:val="24"/>
        </w:rPr>
        <w:t>creatinine clearances</w:t>
      </w:r>
      <w:r>
        <w:rPr>
          <w:rFonts w:asciiTheme="majorBidi" w:hAnsiTheme="majorBidi" w:cstheme="majorBidi"/>
          <w:sz w:val="24"/>
          <w:szCs w:val="24"/>
        </w:rPr>
        <w:t xml:space="preserve"> after chemotherapy. </w:t>
      </w:r>
      <w:r w:rsidR="00021D9E" w:rsidRPr="00707EA6">
        <w:rPr>
          <w:rFonts w:asciiTheme="majorBidi" w:hAnsiTheme="majorBidi" w:cstheme="majorBidi"/>
          <w:sz w:val="24"/>
          <w:szCs w:val="24"/>
        </w:rPr>
        <w:t xml:space="preserve">The creatinine clearances level reduced by a factor of </w:t>
      </w:r>
      <w:r w:rsidR="00021D9E" w:rsidRPr="00707EA6">
        <w:rPr>
          <w:rFonts w:asciiTheme="majorBidi" w:hAnsiTheme="majorBidi" w:cstheme="majorBidi"/>
          <w:sz w:val="24"/>
          <w:szCs w:val="24"/>
        </w:rPr>
        <w:lastRenderedPageBreak/>
        <w:t>0.4</w:t>
      </w:r>
      <w:r>
        <w:rPr>
          <w:rFonts w:asciiTheme="majorBidi" w:hAnsiTheme="majorBidi" w:cstheme="majorBidi"/>
          <w:sz w:val="24"/>
          <w:szCs w:val="24"/>
        </w:rPr>
        <w:t>985</w:t>
      </w:r>
      <w:r w:rsidR="00021D9E" w:rsidRPr="00707EA6">
        <w:rPr>
          <w:rFonts w:asciiTheme="majorBidi" w:hAnsiTheme="majorBidi" w:cstheme="majorBidi"/>
          <w:sz w:val="24"/>
          <w:szCs w:val="24"/>
        </w:rPr>
        <w:t xml:space="preserve"> after chemotherapy and this reduction can be calculated by using the following equation: </w:t>
      </w:r>
      <w:r w:rsidR="00021D9E" w:rsidRPr="00F825FB">
        <w:rPr>
          <w:rFonts w:asciiTheme="majorBidi" w:hAnsiTheme="majorBidi" w:cstheme="majorBidi"/>
          <w:sz w:val="24"/>
          <w:szCs w:val="24"/>
        </w:rPr>
        <w:t>creatinine clearances before= (0.4</w:t>
      </w:r>
      <w:r>
        <w:rPr>
          <w:rFonts w:asciiTheme="majorBidi" w:hAnsiTheme="majorBidi" w:cstheme="majorBidi"/>
          <w:sz w:val="24"/>
          <w:szCs w:val="24"/>
        </w:rPr>
        <w:t>985</w:t>
      </w:r>
      <w:r w:rsidR="00021D9E" w:rsidRPr="00F825FB">
        <w:rPr>
          <w:rFonts w:asciiTheme="majorBidi" w:hAnsiTheme="majorBidi" w:cstheme="majorBidi"/>
          <w:sz w:val="24"/>
          <w:szCs w:val="24"/>
        </w:rPr>
        <w:t>×</w:t>
      </w:r>
      <w:r w:rsidR="00021D9E" w:rsidRPr="00707EA6">
        <w:rPr>
          <w:rFonts w:asciiTheme="majorBidi" w:hAnsiTheme="majorBidi" w:cstheme="majorBidi"/>
          <w:sz w:val="24"/>
          <w:szCs w:val="24"/>
        </w:rPr>
        <w:t xml:space="preserve"> </w:t>
      </w:r>
      <w:r w:rsidR="00021D9E" w:rsidRPr="00F825FB">
        <w:rPr>
          <w:rFonts w:asciiTheme="majorBidi" w:hAnsiTheme="majorBidi" w:cstheme="majorBidi"/>
          <w:sz w:val="24"/>
          <w:szCs w:val="24"/>
        </w:rPr>
        <w:t>creatinine clearances</w:t>
      </w:r>
      <w:r w:rsidR="00021D9E" w:rsidRPr="00707EA6">
        <w:rPr>
          <w:rFonts w:asciiTheme="majorBidi" w:hAnsiTheme="majorBidi" w:cstheme="majorBidi"/>
          <w:i/>
          <w:iCs/>
          <w:sz w:val="24"/>
          <w:szCs w:val="24"/>
        </w:rPr>
        <w:t xml:space="preserve"> </w:t>
      </w:r>
      <w:r w:rsidR="00021D9E" w:rsidRPr="00F825FB">
        <w:rPr>
          <w:rFonts w:asciiTheme="majorBidi" w:hAnsiTheme="majorBidi" w:cstheme="majorBidi"/>
          <w:sz w:val="24"/>
          <w:szCs w:val="24"/>
        </w:rPr>
        <w:t>after) +28.68</w:t>
      </w:r>
    </w:p>
    <w:p w:rsidR="00021D9E" w:rsidRPr="00707EA6" w:rsidRDefault="00021D9E" w:rsidP="00707EA6">
      <w:pPr>
        <w:spacing w:after="0" w:line="240" w:lineRule="auto"/>
        <w:jc w:val="lowKashida"/>
        <w:rPr>
          <w:rFonts w:asciiTheme="majorBidi" w:hAnsiTheme="majorBidi" w:cstheme="majorBidi"/>
          <w:sz w:val="24"/>
          <w:szCs w:val="24"/>
        </w:rPr>
      </w:pPr>
    </w:p>
    <w:p w:rsidR="003219D1" w:rsidRPr="00707EA6" w:rsidRDefault="003219D1" w:rsidP="00707EA6">
      <w:pPr>
        <w:spacing w:after="0" w:line="240" w:lineRule="auto"/>
        <w:jc w:val="lowKashida"/>
        <w:rPr>
          <w:rFonts w:asciiTheme="majorBidi" w:hAnsiTheme="majorBidi" w:cstheme="majorBidi"/>
          <w:sz w:val="24"/>
          <w:szCs w:val="24"/>
        </w:rPr>
      </w:pPr>
    </w:p>
    <w:p w:rsidR="003219D1" w:rsidRPr="00707EA6" w:rsidRDefault="00325637" w:rsidP="00707EA6">
      <w:pPr>
        <w:spacing w:line="240" w:lineRule="auto"/>
        <w:jc w:val="lowKashida"/>
        <w:rPr>
          <w:rFonts w:asciiTheme="majorBidi" w:hAnsiTheme="majorBidi" w:cstheme="majorBidi"/>
          <w:color w:val="FF0000"/>
          <w:sz w:val="24"/>
          <w:szCs w:val="24"/>
        </w:rPr>
      </w:pPr>
      <w:r w:rsidRPr="00707EA6">
        <w:rPr>
          <w:rFonts w:asciiTheme="majorBidi" w:hAnsiTheme="majorBidi" w:cstheme="majorBidi"/>
          <w:noProof/>
          <w:color w:val="FF0000"/>
          <w:sz w:val="24"/>
          <w:szCs w:val="24"/>
        </w:rPr>
        <w:drawing>
          <wp:inline distT="0" distB="0" distL="0" distR="0">
            <wp:extent cx="5867400" cy="2619375"/>
            <wp:effectExtent l="0" t="0" r="0" b="0"/>
            <wp:docPr id="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5637" w:rsidRDefault="0084373C" w:rsidP="00F825FB">
      <w:pPr>
        <w:spacing w:after="0" w:line="240" w:lineRule="auto"/>
        <w:jc w:val="lowKashida"/>
        <w:rPr>
          <w:rFonts w:asciiTheme="majorBidi" w:hAnsiTheme="majorBidi" w:cstheme="majorBidi"/>
          <w:b/>
          <w:bCs/>
          <w:sz w:val="24"/>
          <w:szCs w:val="24"/>
        </w:rPr>
      </w:pPr>
      <w:r w:rsidRPr="00707EA6">
        <w:rPr>
          <w:rFonts w:asciiTheme="majorBidi" w:hAnsiTheme="majorBidi" w:cstheme="majorBidi"/>
          <w:b/>
          <w:bCs/>
          <w:sz w:val="24"/>
          <w:szCs w:val="24"/>
        </w:rPr>
        <w:t>Figure 5</w:t>
      </w:r>
      <w:r w:rsidR="00325637" w:rsidRPr="00707EA6">
        <w:rPr>
          <w:rFonts w:asciiTheme="majorBidi" w:hAnsiTheme="majorBidi" w:cstheme="majorBidi"/>
          <w:b/>
          <w:bCs/>
          <w:sz w:val="24"/>
          <w:szCs w:val="24"/>
        </w:rPr>
        <w:t xml:space="preserve"> shows the correlation between the </w:t>
      </w:r>
      <w:r w:rsidRPr="00707EA6">
        <w:rPr>
          <w:rFonts w:asciiTheme="majorBidi" w:hAnsiTheme="majorBidi" w:cstheme="majorBidi"/>
          <w:b/>
          <w:bCs/>
          <w:sz w:val="24"/>
          <w:szCs w:val="24"/>
        </w:rPr>
        <w:t>GFR</w:t>
      </w:r>
      <w:r w:rsidR="00325637" w:rsidRPr="00707EA6">
        <w:rPr>
          <w:rFonts w:asciiTheme="majorBidi" w:hAnsiTheme="majorBidi" w:cstheme="majorBidi"/>
          <w:b/>
          <w:bCs/>
          <w:sz w:val="24"/>
          <w:szCs w:val="24"/>
        </w:rPr>
        <w:t xml:space="preserve"> in ml/min before chemotherapy versus age in years.</w:t>
      </w:r>
    </w:p>
    <w:p w:rsidR="00411ABD" w:rsidRDefault="00411ABD" w:rsidP="00707EA6">
      <w:pPr>
        <w:spacing w:after="0" w:line="240" w:lineRule="auto"/>
        <w:jc w:val="lowKashida"/>
        <w:rPr>
          <w:rFonts w:asciiTheme="majorBidi" w:hAnsiTheme="majorBidi" w:cstheme="majorBidi"/>
          <w:sz w:val="24"/>
          <w:szCs w:val="24"/>
        </w:rPr>
      </w:pPr>
    </w:p>
    <w:p w:rsidR="00411ABD" w:rsidRPr="00F825FB" w:rsidRDefault="00F825FB" w:rsidP="00CC7290">
      <w:pPr>
        <w:spacing w:after="0" w:line="240" w:lineRule="auto"/>
        <w:rPr>
          <w:rFonts w:asciiTheme="majorBidi" w:hAnsiTheme="majorBidi" w:cstheme="majorBidi"/>
          <w:sz w:val="24"/>
          <w:szCs w:val="24"/>
        </w:rPr>
      </w:pPr>
      <w:r>
        <w:rPr>
          <w:rFonts w:asciiTheme="majorBidi" w:hAnsiTheme="majorBidi" w:cstheme="majorBidi"/>
          <w:sz w:val="24"/>
          <w:szCs w:val="24"/>
        </w:rPr>
        <w:t xml:space="preserve">Figure 5 shows </w:t>
      </w:r>
      <w:r w:rsidRPr="008D38B9">
        <w:rPr>
          <w:rFonts w:asciiTheme="majorBidi" w:hAnsiTheme="majorBidi" w:cstheme="majorBidi"/>
          <w:sz w:val="24"/>
          <w:szCs w:val="24"/>
        </w:rPr>
        <w:t>was a linear regression between</w:t>
      </w:r>
      <w:r>
        <w:rPr>
          <w:rFonts w:asciiTheme="majorBidi" w:hAnsiTheme="majorBidi" w:cstheme="majorBidi"/>
          <w:sz w:val="24"/>
          <w:szCs w:val="24"/>
        </w:rPr>
        <w:t xml:space="preserve"> age and total GFR after chemotherapy </w:t>
      </w:r>
      <w:r w:rsidRPr="00F825FB">
        <w:rPr>
          <w:rFonts w:asciiTheme="majorBidi" w:hAnsiTheme="majorBidi" w:cstheme="majorBidi"/>
          <w:sz w:val="24"/>
          <w:szCs w:val="24"/>
        </w:rPr>
        <w:t>the rat</w:t>
      </w:r>
      <w:r>
        <w:rPr>
          <w:rFonts w:asciiTheme="majorBidi" w:hAnsiTheme="majorBidi" w:cstheme="majorBidi"/>
          <w:sz w:val="24"/>
          <w:szCs w:val="24"/>
        </w:rPr>
        <w:t xml:space="preserve">e of change in </w:t>
      </w:r>
      <w:r w:rsidR="00CC7290">
        <w:rPr>
          <w:rFonts w:asciiTheme="majorBidi" w:hAnsiTheme="majorBidi" w:cstheme="majorBidi"/>
          <w:sz w:val="24"/>
          <w:szCs w:val="24"/>
        </w:rPr>
        <w:t>GFR</w:t>
      </w:r>
      <w:r>
        <w:rPr>
          <w:rFonts w:asciiTheme="majorBidi" w:hAnsiTheme="majorBidi" w:cstheme="majorBidi"/>
          <w:sz w:val="24"/>
          <w:szCs w:val="24"/>
        </w:rPr>
        <w:t xml:space="preserve"> was </w:t>
      </w:r>
      <w:r w:rsidR="00CC7290">
        <w:rPr>
          <w:rFonts w:asciiTheme="majorBidi" w:hAnsiTheme="majorBidi" w:cstheme="majorBidi"/>
          <w:sz w:val="24"/>
          <w:szCs w:val="24"/>
        </w:rPr>
        <w:t xml:space="preserve">- </w:t>
      </w:r>
      <w:r>
        <w:rPr>
          <w:rFonts w:asciiTheme="majorBidi" w:hAnsiTheme="majorBidi" w:cstheme="majorBidi"/>
          <w:sz w:val="24"/>
          <w:szCs w:val="24"/>
        </w:rPr>
        <w:t>0.2436 ml/min</w:t>
      </w:r>
      <w:r w:rsidRPr="00F825FB">
        <w:rPr>
          <w:rFonts w:asciiTheme="majorBidi" w:hAnsiTheme="majorBidi" w:cstheme="majorBidi"/>
          <w:sz w:val="24"/>
          <w:szCs w:val="24"/>
        </w:rPr>
        <w:t xml:space="preserve"> at each </w:t>
      </w:r>
      <w:r>
        <w:rPr>
          <w:rFonts w:asciiTheme="majorBidi" w:hAnsiTheme="majorBidi" w:cstheme="majorBidi"/>
          <w:sz w:val="24"/>
          <w:szCs w:val="24"/>
        </w:rPr>
        <w:t>year</w:t>
      </w:r>
      <w:r w:rsidRPr="00F825FB">
        <w:rPr>
          <w:rFonts w:asciiTheme="majorBidi" w:hAnsiTheme="majorBidi" w:cstheme="majorBidi"/>
          <w:sz w:val="24"/>
          <w:szCs w:val="24"/>
        </w:rPr>
        <w:t xml:space="preserve"> from </w:t>
      </w:r>
      <w:r>
        <w:rPr>
          <w:rFonts w:asciiTheme="majorBidi" w:hAnsiTheme="majorBidi" w:cstheme="majorBidi"/>
          <w:sz w:val="24"/>
          <w:szCs w:val="24"/>
        </w:rPr>
        <w:t>patient age</w:t>
      </w:r>
      <w:r w:rsidRPr="00F825FB">
        <w:rPr>
          <w:rFonts w:asciiTheme="majorBidi" w:hAnsiTheme="majorBidi" w:cstheme="majorBidi"/>
          <w:sz w:val="24"/>
          <w:szCs w:val="24"/>
        </w:rPr>
        <w:t>.</w:t>
      </w:r>
    </w:p>
    <w:p w:rsidR="00411ABD" w:rsidRPr="00707EA6" w:rsidRDefault="00411ABD" w:rsidP="00707EA6">
      <w:pPr>
        <w:spacing w:after="0" w:line="240" w:lineRule="auto"/>
        <w:jc w:val="lowKashida"/>
        <w:rPr>
          <w:rFonts w:asciiTheme="majorBidi" w:hAnsiTheme="majorBidi" w:cstheme="majorBidi"/>
          <w:sz w:val="24"/>
          <w:szCs w:val="24"/>
        </w:rPr>
      </w:pPr>
    </w:p>
    <w:p w:rsidR="00325637" w:rsidRPr="00707EA6" w:rsidRDefault="00325637" w:rsidP="00707EA6">
      <w:pPr>
        <w:spacing w:line="240" w:lineRule="auto"/>
        <w:jc w:val="lowKashida"/>
        <w:rPr>
          <w:rFonts w:asciiTheme="majorBidi" w:hAnsiTheme="majorBidi" w:cstheme="majorBidi"/>
          <w:sz w:val="24"/>
          <w:szCs w:val="24"/>
        </w:rPr>
      </w:pPr>
      <w:r w:rsidRPr="00707EA6">
        <w:rPr>
          <w:rFonts w:asciiTheme="majorBidi" w:hAnsiTheme="majorBidi" w:cstheme="majorBidi"/>
          <w:noProof/>
          <w:sz w:val="24"/>
          <w:szCs w:val="24"/>
        </w:rPr>
        <w:drawing>
          <wp:inline distT="0" distB="0" distL="0" distR="0">
            <wp:extent cx="5943600" cy="2752725"/>
            <wp:effectExtent l="0" t="0" r="0" b="0"/>
            <wp:docPr id="30"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25637" w:rsidRDefault="00CC7290" w:rsidP="00707EA6">
      <w:pPr>
        <w:spacing w:after="0" w:line="240" w:lineRule="auto"/>
        <w:jc w:val="lowKashida"/>
        <w:rPr>
          <w:rFonts w:asciiTheme="majorBidi" w:hAnsiTheme="majorBidi" w:cstheme="majorBidi"/>
          <w:b/>
          <w:bCs/>
          <w:sz w:val="24"/>
          <w:szCs w:val="24"/>
        </w:rPr>
      </w:pPr>
      <w:r>
        <w:rPr>
          <w:rFonts w:asciiTheme="majorBidi" w:hAnsiTheme="majorBidi" w:cstheme="majorBidi"/>
          <w:b/>
          <w:bCs/>
          <w:sz w:val="24"/>
          <w:szCs w:val="24"/>
        </w:rPr>
        <w:t xml:space="preserve">Figure </w:t>
      </w:r>
      <w:r w:rsidR="0084373C" w:rsidRPr="00707EA6">
        <w:rPr>
          <w:rFonts w:asciiTheme="majorBidi" w:hAnsiTheme="majorBidi" w:cstheme="majorBidi"/>
          <w:b/>
          <w:bCs/>
          <w:sz w:val="24"/>
          <w:szCs w:val="24"/>
        </w:rPr>
        <w:t>6</w:t>
      </w:r>
      <w:r w:rsidR="00325637" w:rsidRPr="00707EA6">
        <w:rPr>
          <w:rFonts w:asciiTheme="majorBidi" w:hAnsiTheme="majorBidi" w:cstheme="majorBidi"/>
          <w:b/>
          <w:bCs/>
          <w:sz w:val="24"/>
          <w:szCs w:val="24"/>
        </w:rPr>
        <w:t xml:space="preserve"> shows the correlation between the total GRF in ml/min before chemotherapy versus age in years.</w:t>
      </w:r>
    </w:p>
    <w:p w:rsidR="00CC7290" w:rsidRPr="00F825FB" w:rsidRDefault="00CC7290" w:rsidP="00CC7290">
      <w:pPr>
        <w:spacing w:after="0" w:line="240" w:lineRule="auto"/>
        <w:rPr>
          <w:rFonts w:asciiTheme="majorBidi" w:hAnsiTheme="majorBidi" w:cstheme="majorBidi"/>
          <w:sz w:val="24"/>
          <w:szCs w:val="24"/>
        </w:rPr>
      </w:pPr>
      <w:r>
        <w:rPr>
          <w:rFonts w:asciiTheme="majorBidi" w:hAnsiTheme="majorBidi" w:cstheme="majorBidi"/>
          <w:sz w:val="24"/>
          <w:szCs w:val="24"/>
        </w:rPr>
        <w:lastRenderedPageBreak/>
        <w:t xml:space="preserve">Figure 6 shows </w:t>
      </w:r>
      <w:r w:rsidRPr="008D38B9">
        <w:rPr>
          <w:rFonts w:asciiTheme="majorBidi" w:hAnsiTheme="majorBidi" w:cstheme="majorBidi"/>
          <w:sz w:val="24"/>
          <w:szCs w:val="24"/>
        </w:rPr>
        <w:t>was a linear regression between</w:t>
      </w:r>
      <w:r>
        <w:rPr>
          <w:rFonts w:asciiTheme="majorBidi" w:hAnsiTheme="majorBidi" w:cstheme="majorBidi"/>
          <w:sz w:val="24"/>
          <w:szCs w:val="24"/>
        </w:rPr>
        <w:t xml:space="preserve"> age and serum creatinine clearance before chemotherapy </w:t>
      </w:r>
      <w:r w:rsidRPr="00F825FB">
        <w:rPr>
          <w:rFonts w:asciiTheme="majorBidi" w:hAnsiTheme="majorBidi" w:cstheme="majorBidi"/>
          <w:sz w:val="24"/>
          <w:szCs w:val="24"/>
        </w:rPr>
        <w:t>the rat</w:t>
      </w:r>
      <w:r>
        <w:rPr>
          <w:rFonts w:asciiTheme="majorBidi" w:hAnsiTheme="majorBidi" w:cstheme="majorBidi"/>
          <w:sz w:val="24"/>
          <w:szCs w:val="24"/>
        </w:rPr>
        <w:t>e of change in creatinine clearance was -0.1928 ml/min</w:t>
      </w:r>
      <w:r w:rsidRPr="00F825FB">
        <w:rPr>
          <w:rFonts w:asciiTheme="majorBidi" w:hAnsiTheme="majorBidi" w:cstheme="majorBidi"/>
          <w:sz w:val="24"/>
          <w:szCs w:val="24"/>
        </w:rPr>
        <w:t xml:space="preserve"> at each </w:t>
      </w:r>
      <w:r>
        <w:rPr>
          <w:rFonts w:asciiTheme="majorBidi" w:hAnsiTheme="majorBidi" w:cstheme="majorBidi"/>
          <w:sz w:val="24"/>
          <w:szCs w:val="24"/>
        </w:rPr>
        <w:t>year</w:t>
      </w:r>
      <w:r w:rsidRPr="00F825FB">
        <w:rPr>
          <w:rFonts w:asciiTheme="majorBidi" w:hAnsiTheme="majorBidi" w:cstheme="majorBidi"/>
          <w:sz w:val="24"/>
          <w:szCs w:val="24"/>
        </w:rPr>
        <w:t xml:space="preserve"> from </w:t>
      </w:r>
      <w:r>
        <w:rPr>
          <w:rFonts w:asciiTheme="majorBidi" w:hAnsiTheme="majorBidi" w:cstheme="majorBidi"/>
          <w:sz w:val="24"/>
          <w:szCs w:val="24"/>
        </w:rPr>
        <w:t>patient age</w:t>
      </w:r>
      <w:r w:rsidRPr="00F825FB">
        <w:rPr>
          <w:rFonts w:asciiTheme="majorBidi" w:hAnsiTheme="majorBidi" w:cstheme="majorBidi"/>
          <w:sz w:val="24"/>
          <w:szCs w:val="24"/>
        </w:rPr>
        <w:t>.</w:t>
      </w:r>
    </w:p>
    <w:p w:rsidR="00411ABD" w:rsidRDefault="00411ABD" w:rsidP="00707EA6">
      <w:pPr>
        <w:spacing w:after="0" w:line="240" w:lineRule="auto"/>
        <w:jc w:val="lowKashida"/>
        <w:rPr>
          <w:rFonts w:asciiTheme="majorBidi" w:hAnsiTheme="majorBidi" w:cstheme="majorBidi"/>
          <w:b/>
          <w:bCs/>
          <w:sz w:val="24"/>
          <w:szCs w:val="24"/>
        </w:rPr>
      </w:pPr>
    </w:p>
    <w:p w:rsidR="00411ABD" w:rsidRPr="00707EA6" w:rsidRDefault="00411ABD" w:rsidP="00707EA6">
      <w:pPr>
        <w:spacing w:after="0" w:line="240" w:lineRule="auto"/>
        <w:jc w:val="lowKashida"/>
        <w:rPr>
          <w:rFonts w:asciiTheme="majorBidi" w:hAnsiTheme="majorBidi" w:cstheme="majorBidi"/>
          <w:b/>
          <w:bCs/>
          <w:sz w:val="24"/>
          <w:szCs w:val="24"/>
        </w:rPr>
      </w:pPr>
    </w:p>
    <w:p w:rsidR="00325637" w:rsidRPr="00707EA6" w:rsidRDefault="00325637" w:rsidP="00707EA6">
      <w:pPr>
        <w:spacing w:after="0" w:line="240" w:lineRule="auto"/>
        <w:jc w:val="lowKashida"/>
        <w:rPr>
          <w:rFonts w:asciiTheme="majorBidi" w:hAnsiTheme="majorBidi" w:cstheme="majorBidi"/>
          <w:sz w:val="24"/>
          <w:szCs w:val="24"/>
        </w:rPr>
      </w:pPr>
      <w:r w:rsidRPr="00707EA6">
        <w:rPr>
          <w:rFonts w:asciiTheme="majorBidi" w:hAnsiTheme="majorBidi" w:cstheme="majorBidi"/>
          <w:noProof/>
          <w:sz w:val="24"/>
          <w:szCs w:val="24"/>
        </w:rPr>
        <w:drawing>
          <wp:inline distT="0" distB="0" distL="0" distR="0">
            <wp:extent cx="5943600" cy="2819400"/>
            <wp:effectExtent l="0" t="0" r="0" b="0"/>
            <wp:docPr id="3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25637" w:rsidRDefault="00CC7290" w:rsidP="00707EA6">
      <w:pPr>
        <w:spacing w:after="0" w:line="240" w:lineRule="auto"/>
        <w:jc w:val="lowKashida"/>
        <w:rPr>
          <w:rFonts w:asciiTheme="majorBidi" w:hAnsiTheme="majorBidi" w:cstheme="majorBidi"/>
          <w:b/>
          <w:bCs/>
          <w:sz w:val="24"/>
          <w:szCs w:val="24"/>
        </w:rPr>
      </w:pPr>
      <w:r>
        <w:rPr>
          <w:rFonts w:asciiTheme="majorBidi" w:hAnsiTheme="majorBidi" w:cstheme="majorBidi"/>
          <w:b/>
          <w:bCs/>
          <w:sz w:val="24"/>
          <w:szCs w:val="24"/>
        </w:rPr>
        <w:t xml:space="preserve">Figure </w:t>
      </w:r>
      <w:r w:rsidR="0084373C" w:rsidRPr="00707EA6">
        <w:rPr>
          <w:rFonts w:asciiTheme="majorBidi" w:hAnsiTheme="majorBidi" w:cstheme="majorBidi"/>
          <w:b/>
          <w:bCs/>
          <w:sz w:val="24"/>
          <w:szCs w:val="24"/>
        </w:rPr>
        <w:t>7</w:t>
      </w:r>
      <w:r w:rsidR="00325637" w:rsidRPr="00707EA6">
        <w:rPr>
          <w:rFonts w:asciiTheme="majorBidi" w:hAnsiTheme="majorBidi" w:cstheme="majorBidi"/>
          <w:b/>
          <w:bCs/>
          <w:sz w:val="24"/>
          <w:szCs w:val="24"/>
        </w:rPr>
        <w:t xml:space="preserve"> shows the correlation between the total GFR in ml/min before chemotherapy versus body mass index.</w:t>
      </w:r>
    </w:p>
    <w:p w:rsidR="00CC7290" w:rsidRPr="00F825FB" w:rsidRDefault="00CC7290" w:rsidP="00CC7290">
      <w:pPr>
        <w:spacing w:after="0" w:line="240" w:lineRule="auto"/>
        <w:rPr>
          <w:rFonts w:asciiTheme="majorBidi" w:hAnsiTheme="majorBidi" w:cstheme="majorBidi"/>
          <w:sz w:val="24"/>
          <w:szCs w:val="24"/>
        </w:rPr>
      </w:pPr>
      <w:r>
        <w:rPr>
          <w:rFonts w:asciiTheme="majorBidi" w:hAnsiTheme="majorBidi" w:cstheme="majorBidi"/>
          <w:sz w:val="24"/>
          <w:szCs w:val="24"/>
        </w:rPr>
        <w:t xml:space="preserve">Figure 7 shows </w:t>
      </w:r>
      <w:r w:rsidRPr="008D38B9">
        <w:rPr>
          <w:rFonts w:asciiTheme="majorBidi" w:hAnsiTheme="majorBidi" w:cstheme="majorBidi"/>
          <w:sz w:val="24"/>
          <w:szCs w:val="24"/>
        </w:rPr>
        <w:t>was a linear regression between</w:t>
      </w:r>
      <w:r>
        <w:rPr>
          <w:rFonts w:asciiTheme="majorBidi" w:hAnsiTheme="majorBidi" w:cstheme="majorBidi"/>
          <w:sz w:val="24"/>
          <w:szCs w:val="24"/>
        </w:rPr>
        <w:t xml:space="preserve"> BMI and GFR </w:t>
      </w:r>
      <w:r w:rsidR="00FE48E0">
        <w:rPr>
          <w:rFonts w:asciiTheme="majorBidi" w:hAnsiTheme="majorBidi" w:cstheme="majorBidi"/>
          <w:sz w:val="24"/>
          <w:szCs w:val="24"/>
        </w:rPr>
        <w:t>after chemotherapy</w:t>
      </w:r>
      <w:r>
        <w:rPr>
          <w:rFonts w:asciiTheme="majorBidi" w:hAnsiTheme="majorBidi" w:cstheme="majorBidi"/>
          <w:sz w:val="24"/>
          <w:szCs w:val="24"/>
        </w:rPr>
        <w:t xml:space="preserve"> </w:t>
      </w:r>
      <w:r w:rsidRPr="00F825FB">
        <w:rPr>
          <w:rFonts w:asciiTheme="majorBidi" w:hAnsiTheme="majorBidi" w:cstheme="majorBidi"/>
          <w:sz w:val="24"/>
          <w:szCs w:val="24"/>
        </w:rPr>
        <w:t>the rat</w:t>
      </w:r>
      <w:r>
        <w:rPr>
          <w:rFonts w:asciiTheme="majorBidi" w:hAnsiTheme="majorBidi" w:cstheme="majorBidi"/>
          <w:sz w:val="24"/>
          <w:szCs w:val="24"/>
        </w:rPr>
        <w:t>e of change in GFR was -1.0892 ml/min</w:t>
      </w:r>
      <w:r w:rsidRPr="00F825FB">
        <w:rPr>
          <w:rFonts w:asciiTheme="majorBidi" w:hAnsiTheme="majorBidi" w:cstheme="majorBidi"/>
          <w:sz w:val="24"/>
          <w:szCs w:val="24"/>
        </w:rPr>
        <w:t xml:space="preserve"> at each </w:t>
      </w:r>
      <w:r>
        <w:rPr>
          <w:rFonts w:asciiTheme="majorBidi" w:hAnsiTheme="majorBidi" w:cstheme="majorBidi"/>
          <w:sz w:val="24"/>
          <w:szCs w:val="24"/>
        </w:rPr>
        <w:t>kg/m2</w:t>
      </w:r>
      <w:r w:rsidRPr="00F825FB">
        <w:rPr>
          <w:rFonts w:asciiTheme="majorBidi" w:hAnsiTheme="majorBidi" w:cstheme="majorBidi"/>
          <w:sz w:val="24"/>
          <w:szCs w:val="24"/>
        </w:rPr>
        <w:t xml:space="preserve"> from </w:t>
      </w:r>
      <w:r>
        <w:rPr>
          <w:rFonts w:asciiTheme="majorBidi" w:hAnsiTheme="majorBidi" w:cstheme="majorBidi"/>
          <w:sz w:val="24"/>
          <w:szCs w:val="24"/>
        </w:rPr>
        <w:t>patient BMI</w:t>
      </w:r>
      <w:r w:rsidRPr="00F825FB">
        <w:rPr>
          <w:rFonts w:asciiTheme="majorBidi" w:hAnsiTheme="majorBidi" w:cstheme="majorBidi"/>
          <w:sz w:val="24"/>
          <w:szCs w:val="24"/>
        </w:rPr>
        <w:t>.</w:t>
      </w:r>
    </w:p>
    <w:p w:rsidR="0084373C" w:rsidRPr="00707EA6" w:rsidRDefault="0084373C" w:rsidP="00707EA6">
      <w:pPr>
        <w:spacing w:after="0" w:line="240" w:lineRule="auto"/>
        <w:jc w:val="lowKashida"/>
        <w:rPr>
          <w:rFonts w:asciiTheme="majorBidi" w:hAnsiTheme="majorBidi" w:cstheme="majorBidi"/>
          <w:b/>
          <w:bCs/>
          <w:sz w:val="24"/>
          <w:szCs w:val="24"/>
        </w:rPr>
      </w:pPr>
    </w:p>
    <w:p w:rsidR="00FE48E0" w:rsidRDefault="00FE48E0" w:rsidP="00707EA6">
      <w:pPr>
        <w:spacing w:after="0" w:line="240" w:lineRule="auto"/>
        <w:jc w:val="lowKashida"/>
        <w:rPr>
          <w:rFonts w:asciiTheme="majorBidi" w:hAnsiTheme="majorBidi" w:cstheme="majorBidi"/>
          <w:b/>
          <w:bCs/>
          <w:sz w:val="24"/>
          <w:szCs w:val="24"/>
        </w:rPr>
      </w:pPr>
    </w:p>
    <w:p w:rsidR="00FE48E0" w:rsidRDefault="00FE48E0" w:rsidP="00707EA6">
      <w:pPr>
        <w:spacing w:after="0" w:line="240" w:lineRule="auto"/>
        <w:jc w:val="lowKashida"/>
        <w:rPr>
          <w:rFonts w:asciiTheme="majorBidi" w:hAnsiTheme="majorBidi" w:cstheme="majorBidi"/>
          <w:b/>
          <w:bCs/>
          <w:sz w:val="24"/>
          <w:szCs w:val="24"/>
        </w:rPr>
      </w:pPr>
    </w:p>
    <w:p w:rsidR="0084373C" w:rsidRPr="00707EA6" w:rsidRDefault="0084373C" w:rsidP="00FE48E0">
      <w:pPr>
        <w:pStyle w:val="NormalWeb"/>
        <w:numPr>
          <w:ilvl w:val="0"/>
          <w:numId w:val="7"/>
        </w:numPr>
        <w:shd w:val="clear" w:color="auto" w:fill="FFFFFF"/>
        <w:tabs>
          <w:tab w:val="left" w:pos="540"/>
        </w:tabs>
        <w:spacing w:before="0" w:beforeAutospacing="0" w:after="144" w:afterAutospacing="0"/>
        <w:jc w:val="lowKashida"/>
        <w:rPr>
          <w:rFonts w:asciiTheme="majorBidi" w:hAnsiTheme="majorBidi" w:cstheme="majorBidi"/>
        </w:rPr>
      </w:pPr>
      <w:r w:rsidRPr="00707EA6">
        <w:rPr>
          <w:rFonts w:asciiTheme="majorBidi" w:hAnsiTheme="majorBidi" w:cstheme="majorBidi"/>
          <w:b/>
          <w:bCs/>
        </w:rPr>
        <w:t xml:space="preserve">Conclusion  </w:t>
      </w:r>
    </w:p>
    <w:p w:rsidR="00B32E3E" w:rsidRPr="00F825FB" w:rsidRDefault="00FE48E0" w:rsidP="00B32E3E">
      <w:pPr>
        <w:spacing w:after="0" w:line="240" w:lineRule="auto"/>
        <w:jc w:val="both"/>
        <w:rPr>
          <w:rFonts w:asciiTheme="majorBidi" w:hAnsiTheme="majorBidi" w:cstheme="majorBidi"/>
          <w:sz w:val="24"/>
          <w:szCs w:val="24"/>
        </w:rPr>
      </w:pPr>
      <w:r w:rsidRPr="00FE48E0">
        <w:rPr>
          <w:rFonts w:asciiTheme="majorBidi" w:hAnsiTheme="majorBidi" w:cstheme="majorBidi"/>
          <w:sz w:val="24"/>
          <w:szCs w:val="24"/>
        </w:rPr>
        <w:t>This study carried out to</w:t>
      </w:r>
      <w:r>
        <w:t xml:space="preserve"> </w:t>
      </w:r>
      <w:r w:rsidR="00591CEC" w:rsidRPr="00FE48E0">
        <w:rPr>
          <w:rFonts w:asciiTheme="majorBidi" w:hAnsiTheme="majorBidi" w:cstheme="majorBidi"/>
          <w:sz w:val="24"/>
          <w:szCs w:val="24"/>
        </w:rPr>
        <w:t>compare</w:t>
      </w:r>
      <w:r w:rsidRPr="00FE48E0">
        <w:rPr>
          <w:rFonts w:asciiTheme="majorBidi" w:hAnsiTheme="majorBidi" w:cstheme="majorBidi"/>
          <w:sz w:val="24"/>
          <w:szCs w:val="24"/>
        </w:rPr>
        <w:t xml:space="preserve"> the efficacy of 99 mTc DTPA scintigraphic GFR measurement with creatinine measurement gates in the detection of Cisplatin nephrotoxicity</w:t>
      </w:r>
      <w:r w:rsidR="003805EB" w:rsidRPr="00707EA6">
        <w:rPr>
          <w:rFonts w:asciiTheme="majorBidi" w:hAnsiTheme="majorBidi" w:cstheme="majorBidi"/>
          <w:sz w:val="24"/>
          <w:szCs w:val="24"/>
        </w:rPr>
        <w:t xml:space="preserve">. </w:t>
      </w:r>
      <w:r w:rsidR="00591CEC">
        <w:rPr>
          <w:rFonts w:asciiTheme="majorBidi" w:hAnsiTheme="majorBidi" w:cstheme="majorBidi"/>
          <w:sz w:val="24"/>
          <w:szCs w:val="24"/>
        </w:rPr>
        <w:t>There for the</w:t>
      </w:r>
      <w:r w:rsidR="003805EB" w:rsidRPr="00707EA6">
        <w:rPr>
          <w:rFonts w:asciiTheme="majorBidi" w:hAnsiTheme="majorBidi" w:cstheme="majorBidi"/>
          <w:sz w:val="24"/>
          <w:szCs w:val="24"/>
        </w:rPr>
        <w:t xml:space="preserve"> result indicates that chemotherapy alter the filtration rate by inducing nephrotoxicity</w:t>
      </w:r>
      <w:r w:rsidR="003805EB" w:rsidRPr="00707EA6">
        <w:rPr>
          <w:rFonts w:asciiTheme="majorBidi" w:hAnsiTheme="majorBidi" w:cstheme="majorBidi"/>
          <w:color w:val="FF0000"/>
          <w:sz w:val="24"/>
          <w:szCs w:val="24"/>
        </w:rPr>
        <w:t>.</w:t>
      </w:r>
      <w:r w:rsidR="003805EB" w:rsidRPr="00707EA6">
        <w:rPr>
          <w:rFonts w:asciiTheme="majorBidi" w:hAnsiTheme="majorBidi" w:cstheme="majorBidi"/>
          <w:sz w:val="24"/>
          <w:szCs w:val="24"/>
        </w:rPr>
        <w:t xml:space="preserve"> This toxicity mainly depend on the mount of dose which explained by the number of cycle; therefore the rate of reduction in the function in respect to cycle 9.8 </w:t>
      </w:r>
      <w:r w:rsidR="003805EB" w:rsidRPr="00707EA6">
        <w:rPr>
          <w:rFonts w:asciiTheme="majorBidi" w:hAnsiTheme="majorBidi" w:cstheme="majorBidi"/>
          <w:i/>
          <w:iCs/>
          <w:sz w:val="24"/>
          <w:szCs w:val="24"/>
        </w:rPr>
        <w:t>ml/min/cycle</w:t>
      </w:r>
      <w:r w:rsidR="003805EB" w:rsidRPr="00707EA6">
        <w:rPr>
          <w:rFonts w:asciiTheme="majorBidi" w:hAnsiTheme="majorBidi" w:cstheme="majorBidi"/>
          <w:sz w:val="24"/>
          <w:szCs w:val="24"/>
        </w:rPr>
        <w:t xml:space="preserve"> for GFR using Tc</w:t>
      </w:r>
      <w:r w:rsidR="003805EB" w:rsidRPr="00707EA6">
        <w:rPr>
          <w:rFonts w:asciiTheme="majorBidi" w:hAnsiTheme="majorBidi" w:cstheme="majorBidi"/>
          <w:sz w:val="24"/>
          <w:szCs w:val="24"/>
          <w:vertAlign w:val="superscript"/>
        </w:rPr>
        <w:t>99m</w:t>
      </w:r>
      <w:r w:rsidR="003805EB" w:rsidRPr="00707EA6">
        <w:rPr>
          <w:rFonts w:asciiTheme="majorBidi" w:hAnsiTheme="majorBidi" w:cstheme="majorBidi"/>
          <w:sz w:val="24"/>
          <w:szCs w:val="24"/>
        </w:rPr>
        <w:t xml:space="preserve"> (DTPA) and for Creatinine clearance it was </w:t>
      </w:r>
      <w:r w:rsidR="003805EB" w:rsidRPr="00707EA6">
        <w:rPr>
          <w:rFonts w:asciiTheme="majorBidi" w:hAnsiTheme="majorBidi" w:cstheme="majorBidi"/>
          <w:i/>
          <w:iCs/>
          <w:sz w:val="24"/>
          <w:szCs w:val="24"/>
        </w:rPr>
        <w:t>3.6 ml/min/cycle</w:t>
      </w:r>
      <w:r w:rsidR="003805EB" w:rsidRPr="00707EA6">
        <w:rPr>
          <w:rFonts w:asciiTheme="majorBidi" w:hAnsiTheme="majorBidi" w:cstheme="majorBidi"/>
          <w:sz w:val="24"/>
          <w:szCs w:val="24"/>
        </w:rPr>
        <w:t>.</w:t>
      </w:r>
      <w:r w:rsidR="00591CEC">
        <w:rPr>
          <w:rFonts w:asciiTheme="majorBidi" w:hAnsiTheme="majorBidi" w:cstheme="majorBidi"/>
          <w:sz w:val="24"/>
          <w:szCs w:val="24"/>
        </w:rPr>
        <w:t xml:space="preserve"> And these changes also can effect according to the age and BMI before and after chemotherapy respectively for GFR was - 0.2436 ml/min</w:t>
      </w:r>
      <w:r w:rsidR="00591CEC" w:rsidRPr="00F825FB">
        <w:rPr>
          <w:rFonts w:asciiTheme="majorBidi" w:hAnsiTheme="majorBidi" w:cstheme="majorBidi"/>
          <w:sz w:val="24"/>
          <w:szCs w:val="24"/>
        </w:rPr>
        <w:t xml:space="preserve"> at each </w:t>
      </w:r>
      <w:r w:rsidR="00591CEC">
        <w:rPr>
          <w:rFonts w:asciiTheme="majorBidi" w:hAnsiTheme="majorBidi" w:cstheme="majorBidi"/>
          <w:sz w:val="24"/>
          <w:szCs w:val="24"/>
        </w:rPr>
        <w:t>year</w:t>
      </w:r>
      <w:r w:rsidR="00591CEC" w:rsidRPr="00F825FB">
        <w:rPr>
          <w:rFonts w:asciiTheme="majorBidi" w:hAnsiTheme="majorBidi" w:cstheme="majorBidi"/>
          <w:sz w:val="24"/>
          <w:szCs w:val="24"/>
        </w:rPr>
        <w:t xml:space="preserve"> from </w:t>
      </w:r>
      <w:r w:rsidR="00591CEC">
        <w:rPr>
          <w:rFonts w:asciiTheme="majorBidi" w:hAnsiTheme="majorBidi" w:cstheme="majorBidi"/>
          <w:sz w:val="24"/>
          <w:szCs w:val="24"/>
        </w:rPr>
        <w:t xml:space="preserve">patient </w:t>
      </w:r>
      <w:r w:rsidR="00B32E3E">
        <w:rPr>
          <w:rFonts w:asciiTheme="majorBidi" w:hAnsiTheme="majorBidi" w:cstheme="majorBidi"/>
          <w:sz w:val="24"/>
          <w:szCs w:val="24"/>
        </w:rPr>
        <w:t>age, in creatinine clearance was -0.1928 ml/min</w:t>
      </w:r>
      <w:r w:rsidR="00B32E3E" w:rsidRPr="00F825FB">
        <w:rPr>
          <w:rFonts w:asciiTheme="majorBidi" w:hAnsiTheme="majorBidi" w:cstheme="majorBidi"/>
          <w:sz w:val="24"/>
          <w:szCs w:val="24"/>
        </w:rPr>
        <w:t xml:space="preserve"> at each </w:t>
      </w:r>
      <w:r w:rsidR="00B32E3E">
        <w:rPr>
          <w:rFonts w:asciiTheme="majorBidi" w:hAnsiTheme="majorBidi" w:cstheme="majorBidi"/>
          <w:sz w:val="24"/>
          <w:szCs w:val="24"/>
        </w:rPr>
        <w:t>year</w:t>
      </w:r>
      <w:r w:rsidR="00B32E3E" w:rsidRPr="00F825FB">
        <w:rPr>
          <w:rFonts w:asciiTheme="majorBidi" w:hAnsiTheme="majorBidi" w:cstheme="majorBidi"/>
          <w:sz w:val="24"/>
          <w:szCs w:val="24"/>
        </w:rPr>
        <w:t xml:space="preserve"> from </w:t>
      </w:r>
      <w:r w:rsidR="00B32E3E">
        <w:rPr>
          <w:rFonts w:asciiTheme="majorBidi" w:hAnsiTheme="majorBidi" w:cstheme="majorBidi"/>
          <w:sz w:val="24"/>
          <w:szCs w:val="24"/>
        </w:rPr>
        <w:t>patient age and for GFR was -1.0892 ml/min</w:t>
      </w:r>
      <w:r w:rsidR="00B32E3E" w:rsidRPr="00F825FB">
        <w:rPr>
          <w:rFonts w:asciiTheme="majorBidi" w:hAnsiTheme="majorBidi" w:cstheme="majorBidi"/>
          <w:sz w:val="24"/>
          <w:szCs w:val="24"/>
        </w:rPr>
        <w:t xml:space="preserve"> at each </w:t>
      </w:r>
      <w:r w:rsidR="00B32E3E">
        <w:rPr>
          <w:rFonts w:asciiTheme="majorBidi" w:hAnsiTheme="majorBidi" w:cstheme="majorBidi"/>
          <w:sz w:val="24"/>
          <w:szCs w:val="24"/>
        </w:rPr>
        <w:t>kg/m2</w:t>
      </w:r>
      <w:r w:rsidR="00B32E3E" w:rsidRPr="00F825FB">
        <w:rPr>
          <w:rFonts w:asciiTheme="majorBidi" w:hAnsiTheme="majorBidi" w:cstheme="majorBidi"/>
          <w:sz w:val="24"/>
          <w:szCs w:val="24"/>
        </w:rPr>
        <w:t xml:space="preserve"> from </w:t>
      </w:r>
      <w:r w:rsidR="00B32E3E">
        <w:rPr>
          <w:rFonts w:asciiTheme="majorBidi" w:hAnsiTheme="majorBidi" w:cstheme="majorBidi"/>
          <w:sz w:val="24"/>
          <w:szCs w:val="24"/>
        </w:rPr>
        <w:t>patient BMI</w:t>
      </w:r>
      <w:r w:rsidR="00B32E3E" w:rsidRPr="00F825FB">
        <w:rPr>
          <w:rFonts w:asciiTheme="majorBidi" w:hAnsiTheme="majorBidi" w:cstheme="majorBidi"/>
          <w:sz w:val="24"/>
          <w:szCs w:val="24"/>
        </w:rPr>
        <w:t>.</w:t>
      </w:r>
    </w:p>
    <w:p w:rsidR="003805EB" w:rsidRPr="00707EA6" w:rsidRDefault="003805EB" w:rsidP="00B32E3E">
      <w:pPr>
        <w:spacing w:line="240" w:lineRule="auto"/>
        <w:rPr>
          <w:rFonts w:asciiTheme="majorBidi" w:hAnsiTheme="majorBidi" w:cstheme="majorBidi"/>
          <w:sz w:val="24"/>
          <w:szCs w:val="24"/>
        </w:rPr>
      </w:pPr>
    </w:p>
    <w:p w:rsidR="00013C3A" w:rsidRDefault="00013C3A" w:rsidP="00707EA6">
      <w:pPr>
        <w:autoSpaceDE w:val="0"/>
        <w:autoSpaceDN w:val="0"/>
        <w:adjustRightInd w:val="0"/>
        <w:spacing w:after="0" w:line="240" w:lineRule="auto"/>
        <w:jc w:val="lowKashida"/>
        <w:rPr>
          <w:rFonts w:asciiTheme="majorBidi" w:hAnsiTheme="majorBidi" w:cstheme="majorBidi"/>
          <w:b/>
          <w:sz w:val="24"/>
          <w:szCs w:val="24"/>
        </w:rPr>
      </w:pPr>
    </w:p>
    <w:p w:rsidR="0061162C" w:rsidRDefault="0061162C" w:rsidP="00707EA6">
      <w:pPr>
        <w:autoSpaceDE w:val="0"/>
        <w:autoSpaceDN w:val="0"/>
        <w:adjustRightInd w:val="0"/>
        <w:spacing w:after="0" w:line="240" w:lineRule="auto"/>
        <w:jc w:val="lowKashida"/>
        <w:rPr>
          <w:rFonts w:asciiTheme="majorBidi" w:hAnsiTheme="majorBidi" w:cstheme="majorBidi"/>
          <w:b/>
          <w:sz w:val="24"/>
          <w:szCs w:val="24"/>
        </w:rPr>
      </w:pPr>
    </w:p>
    <w:p w:rsidR="0061162C" w:rsidRDefault="0061162C" w:rsidP="00707EA6">
      <w:pPr>
        <w:autoSpaceDE w:val="0"/>
        <w:autoSpaceDN w:val="0"/>
        <w:adjustRightInd w:val="0"/>
        <w:spacing w:after="0" w:line="240" w:lineRule="auto"/>
        <w:jc w:val="lowKashida"/>
        <w:rPr>
          <w:rFonts w:asciiTheme="majorBidi" w:hAnsiTheme="majorBidi" w:cstheme="majorBidi"/>
          <w:b/>
          <w:sz w:val="24"/>
          <w:szCs w:val="24"/>
        </w:rPr>
      </w:pPr>
    </w:p>
    <w:p w:rsidR="0061162C" w:rsidRDefault="0061162C" w:rsidP="00707EA6">
      <w:pPr>
        <w:autoSpaceDE w:val="0"/>
        <w:autoSpaceDN w:val="0"/>
        <w:adjustRightInd w:val="0"/>
        <w:spacing w:after="0" w:line="240" w:lineRule="auto"/>
        <w:jc w:val="lowKashida"/>
        <w:rPr>
          <w:rFonts w:asciiTheme="majorBidi" w:hAnsiTheme="majorBidi" w:cstheme="majorBidi"/>
          <w:b/>
          <w:sz w:val="24"/>
          <w:szCs w:val="24"/>
        </w:rPr>
      </w:pPr>
    </w:p>
    <w:p w:rsidR="0061162C" w:rsidRDefault="0061162C" w:rsidP="00707EA6">
      <w:pPr>
        <w:autoSpaceDE w:val="0"/>
        <w:autoSpaceDN w:val="0"/>
        <w:adjustRightInd w:val="0"/>
        <w:spacing w:after="0" w:line="240" w:lineRule="auto"/>
        <w:jc w:val="lowKashida"/>
        <w:rPr>
          <w:rFonts w:asciiTheme="majorBidi" w:hAnsiTheme="majorBidi" w:cstheme="majorBidi"/>
          <w:b/>
          <w:sz w:val="24"/>
          <w:szCs w:val="24"/>
        </w:rPr>
      </w:pPr>
    </w:p>
    <w:p w:rsidR="0061162C" w:rsidRPr="00707EA6" w:rsidRDefault="0061162C" w:rsidP="00707EA6">
      <w:pPr>
        <w:autoSpaceDE w:val="0"/>
        <w:autoSpaceDN w:val="0"/>
        <w:adjustRightInd w:val="0"/>
        <w:spacing w:after="0" w:line="240" w:lineRule="auto"/>
        <w:jc w:val="lowKashida"/>
        <w:rPr>
          <w:rFonts w:asciiTheme="majorBidi" w:hAnsiTheme="majorBidi" w:cstheme="majorBidi"/>
          <w:b/>
          <w:sz w:val="24"/>
          <w:szCs w:val="24"/>
        </w:rPr>
      </w:pPr>
    </w:p>
    <w:p w:rsidR="00427098" w:rsidRDefault="00B32E3E" w:rsidP="00707EA6">
      <w:pPr>
        <w:autoSpaceDE w:val="0"/>
        <w:autoSpaceDN w:val="0"/>
        <w:adjustRightInd w:val="0"/>
        <w:spacing w:after="0" w:line="240" w:lineRule="auto"/>
        <w:jc w:val="lowKashida"/>
        <w:rPr>
          <w:rFonts w:asciiTheme="majorBidi" w:hAnsiTheme="majorBidi" w:cstheme="majorBidi"/>
          <w:b/>
          <w:sz w:val="24"/>
          <w:szCs w:val="24"/>
        </w:rPr>
      </w:pPr>
      <w:r>
        <w:rPr>
          <w:rFonts w:asciiTheme="majorBidi" w:hAnsiTheme="majorBidi" w:cstheme="majorBidi"/>
          <w:b/>
          <w:sz w:val="24"/>
          <w:szCs w:val="24"/>
        </w:rPr>
        <w:lastRenderedPageBreak/>
        <w:t>Reference</w:t>
      </w:r>
    </w:p>
    <w:p w:rsidR="000B3C72" w:rsidRPr="006605A6" w:rsidRDefault="000B3C72"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605A6">
        <w:rPr>
          <w:rFonts w:asciiTheme="majorBidi" w:hAnsiTheme="majorBidi" w:cstheme="majorBidi"/>
          <w:color w:val="000000" w:themeColor="text1"/>
          <w:sz w:val="24"/>
          <w:szCs w:val="24"/>
        </w:rPr>
        <w:t xml:space="preserve">Dorner GT, </w:t>
      </w:r>
      <w:proofErr w:type="spellStart"/>
      <w:r w:rsidRPr="006605A6">
        <w:rPr>
          <w:rFonts w:asciiTheme="majorBidi" w:hAnsiTheme="majorBidi" w:cstheme="majorBidi"/>
          <w:color w:val="000000" w:themeColor="text1"/>
          <w:sz w:val="24"/>
          <w:szCs w:val="24"/>
        </w:rPr>
        <w:t>Pehamberger</w:t>
      </w:r>
      <w:proofErr w:type="spellEnd"/>
      <w:r w:rsidRPr="006605A6">
        <w:rPr>
          <w:rFonts w:asciiTheme="majorBidi" w:hAnsiTheme="majorBidi" w:cstheme="majorBidi"/>
          <w:color w:val="000000" w:themeColor="text1"/>
          <w:sz w:val="24"/>
          <w:szCs w:val="24"/>
        </w:rPr>
        <w:t xml:space="preserve"> H, </w:t>
      </w:r>
      <w:proofErr w:type="spellStart"/>
      <w:r w:rsidRPr="006605A6">
        <w:rPr>
          <w:rFonts w:asciiTheme="majorBidi" w:hAnsiTheme="majorBidi" w:cstheme="majorBidi"/>
          <w:color w:val="000000" w:themeColor="text1"/>
          <w:sz w:val="24"/>
          <w:szCs w:val="24"/>
        </w:rPr>
        <w:t>Kornek</w:t>
      </w:r>
      <w:proofErr w:type="spellEnd"/>
      <w:r w:rsidRPr="006605A6">
        <w:rPr>
          <w:rFonts w:asciiTheme="majorBidi" w:hAnsiTheme="majorBidi" w:cstheme="majorBidi"/>
          <w:color w:val="000000" w:themeColor="text1"/>
          <w:sz w:val="24"/>
          <w:szCs w:val="24"/>
        </w:rPr>
        <w:t xml:space="preserve"> G, et al. </w:t>
      </w:r>
      <w:proofErr w:type="spellStart"/>
      <w:r w:rsidRPr="006605A6">
        <w:rPr>
          <w:rFonts w:asciiTheme="majorBidi" w:hAnsiTheme="majorBidi" w:cstheme="majorBidi"/>
          <w:color w:val="000000" w:themeColor="text1"/>
          <w:sz w:val="24"/>
          <w:szCs w:val="24"/>
        </w:rPr>
        <w:t>Cisplatininduced</w:t>
      </w:r>
      <w:proofErr w:type="spellEnd"/>
      <w:r w:rsidRPr="006605A6">
        <w:rPr>
          <w:rFonts w:asciiTheme="majorBidi" w:hAnsiTheme="majorBidi" w:cstheme="majorBidi"/>
          <w:color w:val="000000" w:themeColor="text1"/>
          <w:sz w:val="24"/>
          <w:szCs w:val="24"/>
        </w:rPr>
        <w:t xml:space="preserve"> renal effects and thromboxane A2 receptor </w:t>
      </w:r>
      <w:proofErr w:type="spellStart"/>
      <w:r w:rsidRPr="006605A6">
        <w:rPr>
          <w:rFonts w:asciiTheme="majorBidi" w:hAnsiTheme="majorBidi" w:cstheme="majorBidi"/>
          <w:color w:val="000000" w:themeColor="text1"/>
          <w:sz w:val="24"/>
          <w:szCs w:val="24"/>
        </w:rPr>
        <w:t>blockade.Eur</w:t>
      </w:r>
      <w:proofErr w:type="spellEnd"/>
      <w:r w:rsidRPr="006605A6">
        <w:rPr>
          <w:rFonts w:asciiTheme="majorBidi" w:hAnsiTheme="majorBidi" w:cstheme="majorBidi"/>
          <w:color w:val="000000" w:themeColor="text1"/>
          <w:sz w:val="24"/>
          <w:szCs w:val="24"/>
        </w:rPr>
        <w:t xml:space="preserve"> J </w:t>
      </w:r>
      <w:proofErr w:type="spellStart"/>
      <w:r w:rsidRPr="006605A6">
        <w:rPr>
          <w:rFonts w:asciiTheme="majorBidi" w:hAnsiTheme="majorBidi" w:cstheme="majorBidi"/>
          <w:color w:val="000000" w:themeColor="text1"/>
          <w:sz w:val="24"/>
          <w:szCs w:val="24"/>
        </w:rPr>
        <w:t>Clin</w:t>
      </w:r>
      <w:proofErr w:type="spellEnd"/>
      <w:r w:rsidRPr="006605A6">
        <w:rPr>
          <w:rFonts w:asciiTheme="majorBidi" w:hAnsiTheme="majorBidi" w:cstheme="majorBidi"/>
          <w:color w:val="000000" w:themeColor="text1"/>
          <w:sz w:val="24"/>
          <w:szCs w:val="24"/>
        </w:rPr>
        <w:t xml:space="preserve"> Invest. </w:t>
      </w:r>
      <w:proofErr w:type="gramStart"/>
      <w:r w:rsidRPr="006605A6">
        <w:rPr>
          <w:rFonts w:asciiTheme="majorBidi" w:hAnsiTheme="majorBidi" w:cstheme="majorBidi"/>
          <w:color w:val="000000" w:themeColor="text1"/>
          <w:sz w:val="24"/>
          <w:szCs w:val="24"/>
        </w:rPr>
        <w:t>1997;27:836</w:t>
      </w:r>
      <w:proofErr w:type="gramEnd"/>
      <w:r w:rsidRPr="006605A6">
        <w:rPr>
          <w:rFonts w:asciiTheme="majorBidi" w:hAnsiTheme="majorBidi" w:cstheme="majorBidi"/>
          <w:color w:val="000000" w:themeColor="text1"/>
          <w:sz w:val="24"/>
          <w:szCs w:val="24"/>
        </w:rPr>
        <w:t>-9.</w:t>
      </w:r>
    </w:p>
    <w:p w:rsidR="000B3C72" w:rsidRDefault="000B3C72"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proofErr w:type="spellStart"/>
      <w:r w:rsidRPr="006605A6">
        <w:rPr>
          <w:rFonts w:asciiTheme="majorBidi" w:hAnsiTheme="majorBidi" w:cstheme="majorBidi"/>
          <w:color w:val="000000" w:themeColor="text1"/>
          <w:sz w:val="24"/>
          <w:szCs w:val="24"/>
        </w:rPr>
        <w:t>Dillman</w:t>
      </w:r>
      <w:proofErr w:type="spellEnd"/>
      <w:r w:rsidRPr="006605A6">
        <w:rPr>
          <w:rFonts w:asciiTheme="majorBidi" w:hAnsiTheme="majorBidi" w:cstheme="majorBidi"/>
          <w:color w:val="000000" w:themeColor="text1"/>
          <w:sz w:val="24"/>
          <w:szCs w:val="24"/>
        </w:rPr>
        <w:t xml:space="preserve"> RO, </w:t>
      </w:r>
      <w:proofErr w:type="spellStart"/>
      <w:r w:rsidRPr="006605A6">
        <w:rPr>
          <w:rFonts w:asciiTheme="majorBidi" w:hAnsiTheme="majorBidi" w:cstheme="majorBidi"/>
          <w:color w:val="000000" w:themeColor="text1"/>
          <w:sz w:val="24"/>
          <w:szCs w:val="24"/>
        </w:rPr>
        <w:t>Seagren</w:t>
      </w:r>
      <w:proofErr w:type="spellEnd"/>
      <w:r w:rsidRPr="006605A6">
        <w:rPr>
          <w:rFonts w:asciiTheme="majorBidi" w:hAnsiTheme="majorBidi" w:cstheme="majorBidi"/>
          <w:color w:val="000000" w:themeColor="text1"/>
          <w:sz w:val="24"/>
          <w:szCs w:val="24"/>
        </w:rPr>
        <w:t xml:space="preserve"> SL, </w:t>
      </w:r>
      <w:proofErr w:type="spellStart"/>
      <w:r w:rsidRPr="006605A6">
        <w:rPr>
          <w:rFonts w:asciiTheme="majorBidi" w:hAnsiTheme="majorBidi" w:cstheme="majorBidi"/>
          <w:color w:val="000000" w:themeColor="text1"/>
          <w:sz w:val="24"/>
          <w:szCs w:val="24"/>
        </w:rPr>
        <w:t>Propert</w:t>
      </w:r>
      <w:proofErr w:type="spellEnd"/>
      <w:r w:rsidRPr="006605A6">
        <w:rPr>
          <w:rFonts w:asciiTheme="majorBidi" w:hAnsiTheme="majorBidi" w:cstheme="majorBidi"/>
          <w:color w:val="000000" w:themeColor="text1"/>
          <w:sz w:val="24"/>
          <w:szCs w:val="24"/>
        </w:rPr>
        <w:t xml:space="preserve"> KJ, et al. A randomized trial of induction chemotherapy plus high-dose radiation versus radiation alone in stage III non-small-cell lung cancer. N </w:t>
      </w:r>
      <w:proofErr w:type="spellStart"/>
      <w:r w:rsidRPr="006605A6">
        <w:rPr>
          <w:rFonts w:asciiTheme="majorBidi" w:hAnsiTheme="majorBidi" w:cstheme="majorBidi"/>
          <w:color w:val="000000" w:themeColor="text1"/>
          <w:sz w:val="24"/>
          <w:szCs w:val="24"/>
        </w:rPr>
        <w:t>Engl</w:t>
      </w:r>
      <w:proofErr w:type="spellEnd"/>
      <w:r w:rsidRPr="006605A6">
        <w:rPr>
          <w:rFonts w:asciiTheme="majorBidi" w:hAnsiTheme="majorBidi" w:cstheme="majorBidi"/>
          <w:color w:val="000000" w:themeColor="text1"/>
          <w:sz w:val="24"/>
          <w:szCs w:val="24"/>
        </w:rPr>
        <w:t xml:space="preserve"> J Med. </w:t>
      </w:r>
      <w:proofErr w:type="gramStart"/>
      <w:r w:rsidRPr="006605A6">
        <w:rPr>
          <w:rFonts w:asciiTheme="majorBidi" w:hAnsiTheme="majorBidi" w:cstheme="majorBidi"/>
          <w:color w:val="000000" w:themeColor="text1"/>
          <w:sz w:val="24"/>
          <w:szCs w:val="24"/>
        </w:rPr>
        <w:t>1990;323:940</w:t>
      </w:r>
      <w:proofErr w:type="gramEnd"/>
      <w:r w:rsidRPr="006605A6">
        <w:rPr>
          <w:rFonts w:asciiTheme="majorBidi" w:hAnsiTheme="majorBidi" w:cstheme="majorBidi"/>
          <w:color w:val="000000" w:themeColor="text1"/>
          <w:sz w:val="24"/>
          <w:szCs w:val="24"/>
        </w:rPr>
        <w:t>-5.</w:t>
      </w:r>
    </w:p>
    <w:p w:rsidR="006605A6" w:rsidRP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proofErr w:type="spellStart"/>
      <w:r w:rsidRPr="006605A6">
        <w:rPr>
          <w:rFonts w:asciiTheme="majorBidi" w:hAnsiTheme="majorBidi" w:cstheme="majorBidi"/>
          <w:color w:val="000000" w:themeColor="text1"/>
          <w:sz w:val="24"/>
          <w:szCs w:val="24"/>
        </w:rPr>
        <w:t>Arany</w:t>
      </w:r>
      <w:proofErr w:type="spellEnd"/>
      <w:r w:rsidRPr="006605A6">
        <w:rPr>
          <w:rFonts w:asciiTheme="majorBidi" w:hAnsiTheme="majorBidi" w:cstheme="majorBidi"/>
          <w:color w:val="000000" w:themeColor="text1"/>
          <w:sz w:val="24"/>
          <w:szCs w:val="24"/>
        </w:rPr>
        <w:t xml:space="preserve"> I, </w:t>
      </w:r>
      <w:proofErr w:type="spellStart"/>
      <w:r w:rsidRPr="006605A6">
        <w:rPr>
          <w:rFonts w:asciiTheme="majorBidi" w:hAnsiTheme="majorBidi" w:cstheme="majorBidi"/>
          <w:color w:val="000000" w:themeColor="text1"/>
          <w:sz w:val="24"/>
          <w:szCs w:val="24"/>
        </w:rPr>
        <w:t>Safirstein</w:t>
      </w:r>
      <w:proofErr w:type="spellEnd"/>
      <w:r w:rsidRPr="006605A6">
        <w:rPr>
          <w:rFonts w:asciiTheme="majorBidi" w:hAnsiTheme="majorBidi" w:cstheme="majorBidi"/>
          <w:color w:val="000000" w:themeColor="text1"/>
          <w:sz w:val="24"/>
          <w:szCs w:val="24"/>
        </w:rPr>
        <w:t xml:space="preserve"> RL. Cisplatin nephrotoxicity. </w:t>
      </w:r>
      <w:proofErr w:type="spellStart"/>
      <w:r w:rsidRPr="006605A6">
        <w:rPr>
          <w:rFonts w:asciiTheme="majorBidi" w:hAnsiTheme="majorBidi" w:cstheme="majorBidi"/>
          <w:color w:val="000000" w:themeColor="text1"/>
          <w:sz w:val="24"/>
          <w:szCs w:val="24"/>
        </w:rPr>
        <w:t>Semin</w:t>
      </w:r>
      <w:proofErr w:type="spellEnd"/>
      <w:r w:rsidRPr="006605A6">
        <w:rPr>
          <w:rFonts w:asciiTheme="majorBidi" w:hAnsiTheme="majorBidi" w:cstheme="majorBidi"/>
          <w:color w:val="000000" w:themeColor="text1"/>
          <w:sz w:val="24"/>
          <w:szCs w:val="24"/>
        </w:rPr>
        <w:t xml:space="preserve"> </w:t>
      </w:r>
      <w:proofErr w:type="spellStart"/>
      <w:r w:rsidRPr="006605A6">
        <w:rPr>
          <w:rFonts w:asciiTheme="majorBidi" w:hAnsiTheme="majorBidi" w:cstheme="majorBidi"/>
          <w:color w:val="000000" w:themeColor="text1"/>
          <w:sz w:val="24"/>
          <w:szCs w:val="24"/>
        </w:rPr>
        <w:t>Nephrol</w:t>
      </w:r>
      <w:proofErr w:type="spellEnd"/>
      <w:r w:rsidRPr="006605A6">
        <w:rPr>
          <w:rFonts w:asciiTheme="majorBidi" w:hAnsiTheme="majorBidi" w:cstheme="majorBidi"/>
          <w:color w:val="000000" w:themeColor="text1"/>
          <w:sz w:val="24"/>
          <w:szCs w:val="24"/>
        </w:rPr>
        <w:t xml:space="preserve">. </w:t>
      </w:r>
      <w:proofErr w:type="gramStart"/>
      <w:r w:rsidRPr="006605A6">
        <w:rPr>
          <w:rFonts w:asciiTheme="majorBidi" w:hAnsiTheme="majorBidi" w:cstheme="majorBidi"/>
          <w:color w:val="000000" w:themeColor="text1"/>
          <w:sz w:val="24"/>
          <w:szCs w:val="24"/>
        </w:rPr>
        <w:t>2003;23:460</w:t>
      </w:r>
      <w:proofErr w:type="gramEnd"/>
      <w:r w:rsidRPr="006605A6">
        <w:rPr>
          <w:rFonts w:asciiTheme="majorBidi" w:hAnsiTheme="majorBidi" w:cstheme="majorBidi"/>
          <w:color w:val="000000" w:themeColor="text1"/>
          <w:sz w:val="24"/>
          <w:szCs w:val="24"/>
        </w:rPr>
        <w:t>-4.</w:t>
      </w:r>
    </w:p>
    <w:p w:rsidR="006605A6" w:rsidRP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605A6">
        <w:rPr>
          <w:rFonts w:asciiTheme="majorBidi" w:hAnsiTheme="majorBidi" w:cstheme="majorBidi"/>
          <w:color w:val="000000" w:themeColor="text1"/>
          <w:sz w:val="24"/>
          <w:szCs w:val="24"/>
        </w:rPr>
        <w:t xml:space="preserve">Miyaji T, Kato A, Yasuda H, </w:t>
      </w:r>
      <w:proofErr w:type="spellStart"/>
      <w:r w:rsidRPr="006605A6">
        <w:rPr>
          <w:rFonts w:asciiTheme="majorBidi" w:hAnsiTheme="majorBidi" w:cstheme="majorBidi"/>
          <w:color w:val="000000" w:themeColor="text1"/>
          <w:sz w:val="24"/>
          <w:szCs w:val="24"/>
        </w:rPr>
        <w:t>Fujigaki</w:t>
      </w:r>
      <w:proofErr w:type="spellEnd"/>
      <w:r w:rsidRPr="006605A6">
        <w:rPr>
          <w:rFonts w:asciiTheme="majorBidi" w:hAnsiTheme="majorBidi" w:cstheme="majorBidi"/>
          <w:color w:val="000000" w:themeColor="text1"/>
          <w:sz w:val="24"/>
          <w:szCs w:val="24"/>
        </w:rPr>
        <w:t xml:space="preserve"> Y, </w:t>
      </w:r>
      <w:proofErr w:type="spellStart"/>
      <w:r w:rsidRPr="006605A6">
        <w:rPr>
          <w:rFonts w:asciiTheme="majorBidi" w:hAnsiTheme="majorBidi" w:cstheme="majorBidi"/>
          <w:color w:val="000000" w:themeColor="text1"/>
          <w:sz w:val="24"/>
          <w:szCs w:val="24"/>
        </w:rPr>
        <w:t>Hishida</w:t>
      </w:r>
      <w:proofErr w:type="spellEnd"/>
      <w:r w:rsidRPr="006605A6">
        <w:rPr>
          <w:rFonts w:asciiTheme="majorBidi" w:hAnsiTheme="majorBidi" w:cstheme="majorBidi"/>
          <w:color w:val="000000" w:themeColor="text1"/>
          <w:sz w:val="24"/>
          <w:szCs w:val="24"/>
        </w:rPr>
        <w:t xml:space="preserve"> A. Role of the increase in p21 in cisplatin-induced acute renal failure in rats. J Am </w:t>
      </w:r>
      <w:proofErr w:type="spellStart"/>
      <w:r w:rsidRPr="006605A6">
        <w:rPr>
          <w:rFonts w:asciiTheme="majorBidi" w:hAnsiTheme="majorBidi" w:cstheme="majorBidi"/>
          <w:color w:val="000000" w:themeColor="text1"/>
          <w:sz w:val="24"/>
          <w:szCs w:val="24"/>
        </w:rPr>
        <w:t>Soc</w:t>
      </w:r>
      <w:proofErr w:type="spellEnd"/>
      <w:r w:rsidRPr="006605A6">
        <w:rPr>
          <w:rFonts w:asciiTheme="majorBidi" w:hAnsiTheme="majorBidi" w:cstheme="majorBidi"/>
          <w:color w:val="000000" w:themeColor="text1"/>
          <w:sz w:val="24"/>
          <w:szCs w:val="24"/>
        </w:rPr>
        <w:t xml:space="preserve"> </w:t>
      </w:r>
      <w:proofErr w:type="spellStart"/>
      <w:r w:rsidRPr="006605A6">
        <w:rPr>
          <w:rFonts w:asciiTheme="majorBidi" w:hAnsiTheme="majorBidi" w:cstheme="majorBidi"/>
          <w:color w:val="000000" w:themeColor="text1"/>
          <w:sz w:val="24"/>
          <w:szCs w:val="24"/>
        </w:rPr>
        <w:t>Nephrol</w:t>
      </w:r>
      <w:proofErr w:type="spellEnd"/>
      <w:r w:rsidRPr="006605A6">
        <w:rPr>
          <w:rFonts w:asciiTheme="majorBidi" w:hAnsiTheme="majorBidi" w:cstheme="majorBidi"/>
          <w:color w:val="000000" w:themeColor="text1"/>
          <w:sz w:val="24"/>
          <w:szCs w:val="24"/>
        </w:rPr>
        <w:t xml:space="preserve">. </w:t>
      </w:r>
      <w:proofErr w:type="gramStart"/>
      <w:r w:rsidRPr="006605A6">
        <w:rPr>
          <w:rFonts w:asciiTheme="majorBidi" w:hAnsiTheme="majorBidi" w:cstheme="majorBidi"/>
          <w:color w:val="000000" w:themeColor="text1"/>
          <w:sz w:val="24"/>
          <w:szCs w:val="24"/>
        </w:rPr>
        <w:t>2001;12:900</w:t>
      </w:r>
      <w:proofErr w:type="gramEnd"/>
      <w:r w:rsidRPr="006605A6">
        <w:rPr>
          <w:rFonts w:asciiTheme="majorBidi" w:hAnsiTheme="majorBidi" w:cstheme="majorBidi"/>
          <w:color w:val="000000" w:themeColor="text1"/>
          <w:sz w:val="24"/>
          <w:szCs w:val="24"/>
        </w:rPr>
        <w:t>-8.</w:t>
      </w:r>
    </w:p>
    <w:p w:rsidR="006605A6" w:rsidRP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proofErr w:type="spellStart"/>
      <w:r w:rsidRPr="006605A6">
        <w:rPr>
          <w:rFonts w:asciiTheme="majorBidi" w:hAnsiTheme="majorBidi" w:cstheme="majorBidi"/>
          <w:color w:val="000000" w:themeColor="text1"/>
          <w:sz w:val="24"/>
          <w:szCs w:val="24"/>
        </w:rPr>
        <w:t>Schrier</w:t>
      </w:r>
      <w:proofErr w:type="spellEnd"/>
      <w:r w:rsidRPr="006605A6">
        <w:rPr>
          <w:rFonts w:asciiTheme="majorBidi" w:hAnsiTheme="majorBidi" w:cstheme="majorBidi"/>
          <w:color w:val="000000" w:themeColor="text1"/>
          <w:sz w:val="24"/>
          <w:szCs w:val="24"/>
        </w:rPr>
        <w:t xml:space="preserve"> RW. Cancer therapy and renal injury. J </w:t>
      </w:r>
      <w:proofErr w:type="spellStart"/>
      <w:r w:rsidRPr="006605A6">
        <w:rPr>
          <w:rFonts w:asciiTheme="majorBidi" w:hAnsiTheme="majorBidi" w:cstheme="majorBidi"/>
          <w:color w:val="000000" w:themeColor="text1"/>
          <w:sz w:val="24"/>
          <w:szCs w:val="24"/>
        </w:rPr>
        <w:t>Clin</w:t>
      </w:r>
      <w:proofErr w:type="spellEnd"/>
      <w:r w:rsidRPr="006605A6">
        <w:rPr>
          <w:rFonts w:asciiTheme="majorBidi" w:hAnsiTheme="majorBidi" w:cstheme="majorBidi"/>
          <w:color w:val="000000" w:themeColor="text1"/>
          <w:sz w:val="24"/>
          <w:szCs w:val="24"/>
        </w:rPr>
        <w:t xml:space="preserve"> Invest. </w:t>
      </w:r>
      <w:proofErr w:type="gramStart"/>
      <w:r w:rsidRPr="006605A6">
        <w:rPr>
          <w:rFonts w:asciiTheme="majorBidi" w:hAnsiTheme="majorBidi" w:cstheme="majorBidi"/>
          <w:color w:val="000000" w:themeColor="text1"/>
          <w:sz w:val="24"/>
          <w:szCs w:val="24"/>
        </w:rPr>
        <w:t>2002;110:743</w:t>
      </w:r>
      <w:proofErr w:type="gramEnd"/>
      <w:r w:rsidRPr="006605A6">
        <w:rPr>
          <w:rFonts w:asciiTheme="majorBidi" w:hAnsiTheme="majorBidi" w:cstheme="majorBidi"/>
          <w:color w:val="000000" w:themeColor="text1"/>
          <w:sz w:val="24"/>
          <w:szCs w:val="24"/>
        </w:rPr>
        <w:t>-5.</w:t>
      </w:r>
    </w:p>
    <w:p w:rsidR="006605A6" w:rsidRP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605A6">
        <w:rPr>
          <w:rFonts w:asciiTheme="majorBidi" w:hAnsiTheme="majorBidi" w:cstheme="majorBidi"/>
          <w:color w:val="000000" w:themeColor="text1"/>
          <w:sz w:val="24"/>
          <w:szCs w:val="24"/>
        </w:rPr>
        <w:t xml:space="preserve">Elliott WC, </w:t>
      </w:r>
      <w:proofErr w:type="spellStart"/>
      <w:r w:rsidRPr="006605A6">
        <w:rPr>
          <w:rFonts w:asciiTheme="majorBidi" w:hAnsiTheme="majorBidi" w:cstheme="majorBidi"/>
          <w:color w:val="000000" w:themeColor="text1"/>
          <w:sz w:val="24"/>
          <w:szCs w:val="24"/>
        </w:rPr>
        <w:t>Newcom</w:t>
      </w:r>
      <w:proofErr w:type="spellEnd"/>
      <w:r w:rsidRPr="006605A6">
        <w:rPr>
          <w:rFonts w:asciiTheme="majorBidi" w:hAnsiTheme="majorBidi" w:cstheme="majorBidi"/>
          <w:color w:val="000000" w:themeColor="text1"/>
          <w:sz w:val="24"/>
          <w:szCs w:val="24"/>
        </w:rPr>
        <w:t xml:space="preserve"> SR, Houghton DC, Baines-Hunter J, Bennett WM. cis-</w:t>
      </w:r>
      <w:proofErr w:type="spellStart"/>
      <w:r w:rsidRPr="006605A6">
        <w:rPr>
          <w:rFonts w:asciiTheme="majorBidi" w:hAnsiTheme="majorBidi" w:cstheme="majorBidi"/>
          <w:color w:val="000000" w:themeColor="text1"/>
          <w:sz w:val="24"/>
          <w:szCs w:val="24"/>
        </w:rPr>
        <w:t>diamminedichloroplatinum</w:t>
      </w:r>
      <w:proofErr w:type="spellEnd"/>
      <w:r w:rsidRPr="006605A6">
        <w:rPr>
          <w:rFonts w:asciiTheme="majorBidi" w:hAnsiTheme="majorBidi" w:cstheme="majorBidi"/>
          <w:color w:val="000000" w:themeColor="text1"/>
          <w:sz w:val="24"/>
          <w:szCs w:val="24"/>
        </w:rPr>
        <w:t xml:space="preserve">(II) nephrotoxicity: tubular function after rescue with sodium </w:t>
      </w:r>
      <w:proofErr w:type="spellStart"/>
      <w:r w:rsidRPr="006605A6">
        <w:rPr>
          <w:rFonts w:asciiTheme="majorBidi" w:hAnsiTheme="majorBidi" w:cstheme="majorBidi"/>
          <w:color w:val="000000" w:themeColor="text1"/>
          <w:sz w:val="24"/>
          <w:szCs w:val="24"/>
        </w:rPr>
        <w:t>diethyldithiocarbamate</w:t>
      </w:r>
      <w:proofErr w:type="spellEnd"/>
      <w:r w:rsidRPr="006605A6">
        <w:rPr>
          <w:rFonts w:asciiTheme="majorBidi" w:hAnsiTheme="majorBidi" w:cstheme="majorBidi"/>
          <w:color w:val="000000" w:themeColor="text1"/>
          <w:sz w:val="24"/>
          <w:szCs w:val="24"/>
        </w:rPr>
        <w:t xml:space="preserve"> in rats. Cancer Res. </w:t>
      </w:r>
      <w:proofErr w:type="gramStart"/>
      <w:r w:rsidRPr="006605A6">
        <w:rPr>
          <w:rFonts w:asciiTheme="majorBidi" w:hAnsiTheme="majorBidi" w:cstheme="majorBidi"/>
          <w:color w:val="000000" w:themeColor="text1"/>
          <w:sz w:val="24"/>
          <w:szCs w:val="24"/>
        </w:rPr>
        <w:t>1983;43:3759</w:t>
      </w:r>
      <w:proofErr w:type="gramEnd"/>
      <w:r w:rsidRPr="006605A6">
        <w:rPr>
          <w:rFonts w:asciiTheme="majorBidi" w:hAnsiTheme="majorBidi" w:cstheme="majorBidi"/>
          <w:color w:val="000000" w:themeColor="text1"/>
          <w:sz w:val="24"/>
          <w:szCs w:val="24"/>
        </w:rPr>
        <w:t>-62.</w:t>
      </w:r>
    </w:p>
    <w:p w:rsidR="006605A6" w:rsidRP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605A6">
        <w:rPr>
          <w:rFonts w:asciiTheme="majorBidi" w:hAnsiTheme="majorBidi" w:cstheme="majorBidi"/>
          <w:color w:val="000000" w:themeColor="text1"/>
          <w:sz w:val="24"/>
          <w:szCs w:val="24"/>
        </w:rPr>
        <w:t xml:space="preserve">Levey AS. Measurement of renal function in chronic renal disease. Kidney Int. </w:t>
      </w:r>
      <w:proofErr w:type="gramStart"/>
      <w:r w:rsidRPr="006605A6">
        <w:rPr>
          <w:rFonts w:asciiTheme="majorBidi" w:hAnsiTheme="majorBidi" w:cstheme="majorBidi"/>
          <w:color w:val="000000" w:themeColor="text1"/>
          <w:sz w:val="24"/>
          <w:szCs w:val="24"/>
        </w:rPr>
        <w:t>1990;38:167</w:t>
      </w:r>
      <w:proofErr w:type="gramEnd"/>
      <w:r w:rsidRPr="006605A6">
        <w:rPr>
          <w:rFonts w:asciiTheme="majorBidi" w:hAnsiTheme="majorBidi" w:cstheme="majorBidi"/>
          <w:color w:val="000000" w:themeColor="text1"/>
          <w:sz w:val="24"/>
          <w:szCs w:val="24"/>
        </w:rPr>
        <w:t>-84.</w:t>
      </w:r>
    </w:p>
    <w:p w:rsidR="006605A6" w:rsidRP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605A6">
        <w:rPr>
          <w:rFonts w:asciiTheme="majorBidi" w:hAnsiTheme="majorBidi" w:cstheme="majorBidi"/>
          <w:color w:val="000000" w:themeColor="text1"/>
          <w:sz w:val="24"/>
          <w:szCs w:val="24"/>
        </w:rPr>
        <w:t xml:space="preserve">Itoh K. Determination of glomerular filtration rate by means of newly developed plastic scintillation counter both with and without dilution procedures. J </w:t>
      </w:r>
      <w:proofErr w:type="spellStart"/>
      <w:r w:rsidRPr="006605A6">
        <w:rPr>
          <w:rFonts w:asciiTheme="majorBidi" w:hAnsiTheme="majorBidi" w:cstheme="majorBidi"/>
          <w:color w:val="000000" w:themeColor="text1"/>
          <w:sz w:val="24"/>
          <w:szCs w:val="24"/>
        </w:rPr>
        <w:t>Nucl</w:t>
      </w:r>
      <w:proofErr w:type="spellEnd"/>
      <w:r w:rsidRPr="006605A6">
        <w:rPr>
          <w:rFonts w:asciiTheme="majorBidi" w:hAnsiTheme="majorBidi" w:cstheme="majorBidi"/>
          <w:color w:val="000000" w:themeColor="text1"/>
          <w:sz w:val="24"/>
          <w:szCs w:val="24"/>
        </w:rPr>
        <w:t xml:space="preserve"> Med. </w:t>
      </w:r>
      <w:proofErr w:type="gramStart"/>
      <w:r w:rsidRPr="006605A6">
        <w:rPr>
          <w:rFonts w:asciiTheme="majorBidi" w:hAnsiTheme="majorBidi" w:cstheme="majorBidi"/>
          <w:color w:val="000000" w:themeColor="text1"/>
          <w:sz w:val="24"/>
          <w:szCs w:val="24"/>
        </w:rPr>
        <w:t>2001;42:1484</w:t>
      </w:r>
      <w:proofErr w:type="gramEnd"/>
      <w:r w:rsidRPr="006605A6">
        <w:rPr>
          <w:rFonts w:asciiTheme="majorBidi" w:hAnsiTheme="majorBidi" w:cstheme="majorBidi"/>
          <w:color w:val="000000" w:themeColor="text1"/>
          <w:sz w:val="24"/>
          <w:szCs w:val="24"/>
        </w:rPr>
        <w:t>-8.</w:t>
      </w:r>
    </w:p>
    <w:p w:rsidR="006605A6" w:rsidRDefault="006605A6" w:rsidP="006605A6">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proofErr w:type="spellStart"/>
      <w:r w:rsidRPr="006605A6">
        <w:rPr>
          <w:rFonts w:asciiTheme="majorBidi" w:hAnsiTheme="majorBidi" w:cstheme="majorBidi"/>
          <w:color w:val="000000" w:themeColor="text1"/>
          <w:sz w:val="24"/>
          <w:szCs w:val="24"/>
        </w:rPr>
        <w:t>Poggio</w:t>
      </w:r>
      <w:proofErr w:type="spellEnd"/>
      <w:r w:rsidRPr="006605A6">
        <w:rPr>
          <w:rFonts w:asciiTheme="majorBidi" w:hAnsiTheme="majorBidi" w:cstheme="majorBidi"/>
          <w:color w:val="000000" w:themeColor="text1"/>
          <w:sz w:val="24"/>
          <w:szCs w:val="24"/>
        </w:rPr>
        <w:t xml:space="preserve"> ED, Wang X, Greene T, Van Lente F, Hall PM. Performance of the modification of diet in renal disease and Cockcroft-Gault equations in the estimation of GFR in health and in chronic kidney disease. J Am </w:t>
      </w:r>
      <w:proofErr w:type="spellStart"/>
      <w:r w:rsidRPr="006605A6">
        <w:rPr>
          <w:rFonts w:asciiTheme="majorBidi" w:hAnsiTheme="majorBidi" w:cstheme="majorBidi"/>
          <w:color w:val="000000" w:themeColor="text1"/>
          <w:sz w:val="24"/>
          <w:szCs w:val="24"/>
        </w:rPr>
        <w:t>Soc</w:t>
      </w:r>
      <w:proofErr w:type="spellEnd"/>
      <w:r w:rsidRPr="006605A6">
        <w:rPr>
          <w:rFonts w:asciiTheme="majorBidi" w:hAnsiTheme="majorBidi" w:cstheme="majorBidi"/>
          <w:color w:val="000000" w:themeColor="text1"/>
          <w:sz w:val="24"/>
          <w:szCs w:val="24"/>
        </w:rPr>
        <w:t xml:space="preserve"> </w:t>
      </w:r>
      <w:proofErr w:type="spellStart"/>
      <w:r w:rsidRPr="006605A6">
        <w:rPr>
          <w:rFonts w:asciiTheme="majorBidi" w:hAnsiTheme="majorBidi" w:cstheme="majorBidi"/>
          <w:color w:val="000000" w:themeColor="text1"/>
          <w:sz w:val="24"/>
          <w:szCs w:val="24"/>
        </w:rPr>
        <w:t>Nephrol</w:t>
      </w:r>
      <w:proofErr w:type="spellEnd"/>
      <w:r w:rsidRPr="006605A6">
        <w:rPr>
          <w:rFonts w:asciiTheme="majorBidi" w:hAnsiTheme="majorBidi" w:cstheme="majorBidi"/>
          <w:color w:val="000000" w:themeColor="text1"/>
          <w:sz w:val="24"/>
          <w:szCs w:val="24"/>
        </w:rPr>
        <w:t xml:space="preserve">. </w:t>
      </w:r>
      <w:proofErr w:type="gramStart"/>
      <w:r w:rsidRPr="006605A6">
        <w:rPr>
          <w:rFonts w:asciiTheme="majorBidi" w:hAnsiTheme="majorBidi" w:cstheme="majorBidi"/>
          <w:color w:val="000000" w:themeColor="text1"/>
          <w:sz w:val="24"/>
          <w:szCs w:val="24"/>
        </w:rPr>
        <w:t>2005;16:459</w:t>
      </w:r>
      <w:proofErr w:type="gramEnd"/>
      <w:r w:rsidRPr="006605A6">
        <w:rPr>
          <w:rFonts w:asciiTheme="majorBidi" w:hAnsiTheme="majorBidi" w:cstheme="majorBidi"/>
          <w:color w:val="000000" w:themeColor="text1"/>
          <w:sz w:val="24"/>
          <w:szCs w:val="24"/>
        </w:rPr>
        <w:t>-66.</w:t>
      </w:r>
    </w:p>
    <w:p w:rsidR="00612EC3" w:rsidRPr="00612EC3" w:rsidRDefault="00612EC3" w:rsidP="00612EC3">
      <w:pPr>
        <w:pStyle w:val="ListParagraph"/>
        <w:numPr>
          <w:ilvl w:val="0"/>
          <w:numId w:val="2"/>
        </w:numPr>
        <w:autoSpaceDE w:val="0"/>
        <w:autoSpaceDN w:val="0"/>
        <w:adjustRightInd w:val="0"/>
        <w:spacing w:after="0" w:line="240" w:lineRule="auto"/>
        <w:ind w:left="360"/>
        <w:jc w:val="lowKashida"/>
        <w:rPr>
          <w:rFonts w:asciiTheme="majorBidi" w:hAnsiTheme="majorBidi" w:cstheme="majorBidi"/>
          <w:i/>
          <w:iCs/>
          <w:color w:val="000000" w:themeColor="text1"/>
          <w:sz w:val="24"/>
          <w:szCs w:val="24"/>
        </w:rPr>
      </w:pPr>
      <w:proofErr w:type="spellStart"/>
      <w:proofErr w:type="gramStart"/>
      <w:r w:rsidRPr="00612EC3">
        <w:rPr>
          <w:rFonts w:asciiTheme="majorBidi" w:hAnsiTheme="majorBidi" w:cstheme="majorBidi"/>
          <w:color w:val="000000" w:themeColor="text1"/>
          <w:sz w:val="24"/>
          <w:szCs w:val="24"/>
        </w:rPr>
        <w:t>Biersack</w:t>
      </w:r>
      <w:proofErr w:type="spellEnd"/>
      <w:r w:rsidRPr="00612EC3">
        <w:rPr>
          <w:rFonts w:asciiTheme="majorBidi" w:hAnsiTheme="majorBidi" w:cstheme="majorBidi"/>
          <w:i/>
          <w:iCs/>
          <w:color w:val="000000" w:themeColor="text1"/>
          <w:sz w:val="24"/>
          <w:szCs w:val="24"/>
        </w:rPr>
        <w:t xml:space="preserve">  H.</w:t>
      </w:r>
      <w:proofErr w:type="gramEnd"/>
      <w:r w:rsidRPr="00612EC3">
        <w:rPr>
          <w:rFonts w:asciiTheme="majorBidi" w:hAnsiTheme="majorBidi" w:cstheme="majorBidi"/>
          <w:i/>
          <w:iCs/>
          <w:color w:val="000000" w:themeColor="text1"/>
          <w:sz w:val="24"/>
          <w:szCs w:val="24"/>
        </w:rPr>
        <w:t xml:space="preserve"> G. ,  Freeman L.M. , Lionel S. </w:t>
      </w:r>
      <w:proofErr w:type="spellStart"/>
      <w:r w:rsidRPr="00612EC3">
        <w:rPr>
          <w:rFonts w:asciiTheme="majorBidi" w:hAnsiTheme="majorBidi" w:cstheme="majorBidi"/>
          <w:i/>
          <w:iCs/>
          <w:color w:val="000000" w:themeColor="text1"/>
          <w:sz w:val="24"/>
          <w:szCs w:val="24"/>
        </w:rPr>
        <w:t>Zuckier</w:t>
      </w:r>
      <w:proofErr w:type="spellEnd"/>
      <w:r w:rsidRPr="00612EC3">
        <w:rPr>
          <w:rFonts w:asciiTheme="majorBidi" w:hAnsiTheme="majorBidi" w:cstheme="majorBidi"/>
          <w:i/>
          <w:iCs/>
          <w:color w:val="000000" w:themeColor="text1"/>
          <w:sz w:val="24"/>
          <w:szCs w:val="24"/>
        </w:rPr>
        <w:t xml:space="preserve"> and </w:t>
      </w:r>
      <w:proofErr w:type="spellStart"/>
      <w:r w:rsidRPr="00612EC3">
        <w:rPr>
          <w:rFonts w:asciiTheme="majorBidi" w:hAnsiTheme="majorBidi" w:cstheme="majorBidi"/>
          <w:i/>
          <w:iCs/>
          <w:color w:val="000000" w:themeColor="text1"/>
          <w:sz w:val="24"/>
          <w:szCs w:val="24"/>
        </w:rPr>
        <w:t>Grunwald</w:t>
      </w:r>
      <w:proofErr w:type="spellEnd"/>
      <w:r w:rsidRPr="00612EC3">
        <w:rPr>
          <w:rFonts w:asciiTheme="majorBidi" w:hAnsiTheme="majorBidi" w:cstheme="majorBidi"/>
          <w:i/>
          <w:iCs/>
          <w:color w:val="000000" w:themeColor="text1"/>
          <w:sz w:val="24"/>
          <w:szCs w:val="24"/>
        </w:rPr>
        <w:t xml:space="preserve"> Z.F. . 2007. Clinical </w:t>
      </w:r>
      <w:proofErr w:type="spellStart"/>
      <w:r w:rsidRPr="00612EC3">
        <w:rPr>
          <w:rFonts w:asciiTheme="majorBidi" w:hAnsiTheme="majorBidi" w:cstheme="majorBidi"/>
          <w:i/>
          <w:iCs/>
          <w:color w:val="000000" w:themeColor="text1"/>
          <w:sz w:val="24"/>
          <w:szCs w:val="24"/>
        </w:rPr>
        <w:t>NuclearMedicine</w:t>
      </w:r>
      <w:proofErr w:type="spellEnd"/>
      <w:r w:rsidRPr="00612EC3">
        <w:rPr>
          <w:rFonts w:asciiTheme="majorBidi" w:hAnsiTheme="majorBidi" w:cstheme="majorBidi"/>
          <w:i/>
          <w:iCs/>
          <w:color w:val="000000" w:themeColor="text1"/>
          <w:sz w:val="24"/>
          <w:szCs w:val="24"/>
        </w:rPr>
        <w:t xml:space="preserve">. Springer .Chapter 7. 573:177-180. </w:t>
      </w:r>
    </w:p>
    <w:p w:rsidR="00612EC3" w:rsidRPr="00612EC3" w:rsidRDefault="00612EC3" w:rsidP="00612EC3">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12EC3">
        <w:rPr>
          <w:rFonts w:asciiTheme="majorBidi" w:hAnsiTheme="majorBidi" w:cstheme="majorBidi"/>
          <w:color w:val="000000" w:themeColor="text1"/>
          <w:sz w:val="24"/>
          <w:szCs w:val="24"/>
        </w:rPr>
        <w:t>Smith H. The kidney structure and function in health and disease. New York: Oxford University Press,1951:231-8.</w:t>
      </w:r>
    </w:p>
    <w:p w:rsidR="00612EC3" w:rsidRPr="00612EC3" w:rsidRDefault="00612EC3" w:rsidP="00612EC3">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612EC3">
        <w:rPr>
          <w:rFonts w:asciiTheme="majorBidi" w:hAnsiTheme="majorBidi" w:cstheme="majorBidi"/>
          <w:color w:val="000000" w:themeColor="text1"/>
          <w:sz w:val="24"/>
          <w:szCs w:val="24"/>
        </w:rPr>
        <w:t xml:space="preserve">Itoh K. Comparison of methods for determination of glomerular filtration rate: Tc-99m-DTPA renography, predicted creatinine clearance method and plasma sample method. Ann </w:t>
      </w:r>
      <w:proofErr w:type="spellStart"/>
      <w:r w:rsidRPr="00612EC3">
        <w:rPr>
          <w:rFonts w:asciiTheme="majorBidi" w:hAnsiTheme="majorBidi" w:cstheme="majorBidi"/>
          <w:color w:val="000000" w:themeColor="text1"/>
          <w:sz w:val="24"/>
          <w:szCs w:val="24"/>
        </w:rPr>
        <w:t>Nucl</w:t>
      </w:r>
      <w:proofErr w:type="spellEnd"/>
      <w:r w:rsidRPr="00612EC3">
        <w:rPr>
          <w:rFonts w:asciiTheme="majorBidi" w:hAnsiTheme="majorBidi" w:cstheme="majorBidi"/>
          <w:color w:val="000000" w:themeColor="text1"/>
          <w:sz w:val="24"/>
          <w:szCs w:val="24"/>
        </w:rPr>
        <w:t xml:space="preserve"> Med. </w:t>
      </w:r>
      <w:proofErr w:type="gramStart"/>
      <w:r w:rsidRPr="00612EC3">
        <w:rPr>
          <w:rFonts w:asciiTheme="majorBidi" w:hAnsiTheme="majorBidi" w:cstheme="majorBidi"/>
          <w:color w:val="000000" w:themeColor="text1"/>
          <w:sz w:val="24"/>
          <w:szCs w:val="24"/>
        </w:rPr>
        <w:t>2003;17:561</w:t>
      </w:r>
      <w:proofErr w:type="gramEnd"/>
      <w:r w:rsidRPr="00612EC3">
        <w:rPr>
          <w:rFonts w:asciiTheme="majorBidi" w:hAnsiTheme="majorBidi" w:cstheme="majorBidi"/>
          <w:color w:val="000000" w:themeColor="text1"/>
          <w:sz w:val="24"/>
          <w:szCs w:val="24"/>
        </w:rPr>
        <w:t>-5.</w:t>
      </w:r>
    </w:p>
    <w:p w:rsidR="007E0358" w:rsidRPr="007E0358" w:rsidRDefault="007E0358" w:rsidP="007E0358">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proofErr w:type="spellStart"/>
      <w:r w:rsidRPr="007E0358">
        <w:rPr>
          <w:rFonts w:asciiTheme="majorBidi" w:hAnsiTheme="majorBidi" w:cstheme="majorBidi"/>
          <w:color w:val="000000" w:themeColor="text1"/>
          <w:sz w:val="24"/>
          <w:szCs w:val="24"/>
        </w:rPr>
        <w:t>Laterza</w:t>
      </w:r>
      <w:proofErr w:type="spellEnd"/>
      <w:r w:rsidRPr="007E0358">
        <w:rPr>
          <w:rFonts w:asciiTheme="majorBidi" w:hAnsiTheme="majorBidi" w:cstheme="majorBidi"/>
          <w:color w:val="000000" w:themeColor="text1"/>
          <w:sz w:val="24"/>
          <w:szCs w:val="24"/>
        </w:rPr>
        <w:t xml:space="preserve"> OF, Price CP, Scott MG. Cystatin C: an improved estimator of glomerular filtration rate? </w:t>
      </w:r>
      <w:proofErr w:type="spellStart"/>
      <w:r w:rsidRPr="007E0358">
        <w:rPr>
          <w:rFonts w:asciiTheme="majorBidi" w:hAnsiTheme="majorBidi" w:cstheme="majorBidi"/>
          <w:color w:val="000000" w:themeColor="text1"/>
          <w:sz w:val="24"/>
          <w:szCs w:val="24"/>
        </w:rPr>
        <w:t>Clin</w:t>
      </w:r>
      <w:proofErr w:type="spellEnd"/>
      <w:r w:rsidRPr="007E0358">
        <w:rPr>
          <w:rFonts w:asciiTheme="majorBidi" w:hAnsiTheme="majorBidi" w:cstheme="majorBidi"/>
          <w:color w:val="000000" w:themeColor="text1"/>
          <w:sz w:val="24"/>
          <w:szCs w:val="24"/>
        </w:rPr>
        <w:t xml:space="preserve"> Chem.</w:t>
      </w:r>
      <w:proofErr w:type="gramStart"/>
      <w:r w:rsidRPr="007E0358">
        <w:rPr>
          <w:rFonts w:asciiTheme="majorBidi" w:hAnsiTheme="majorBidi" w:cstheme="majorBidi"/>
          <w:color w:val="000000" w:themeColor="text1"/>
          <w:sz w:val="24"/>
          <w:szCs w:val="24"/>
        </w:rPr>
        <w:t>2002;48:699</w:t>
      </w:r>
      <w:proofErr w:type="gramEnd"/>
      <w:r w:rsidRPr="007E0358">
        <w:rPr>
          <w:rFonts w:asciiTheme="majorBidi" w:hAnsiTheme="majorBidi" w:cstheme="majorBidi"/>
          <w:color w:val="000000" w:themeColor="text1"/>
          <w:sz w:val="24"/>
          <w:szCs w:val="24"/>
        </w:rPr>
        <w:t>-707.</w:t>
      </w:r>
    </w:p>
    <w:p w:rsidR="007E0358" w:rsidRPr="007E0358" w:rsidRDefault="007E0358" w:rsidP="007E0358">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7E0358">
        <w:rPr>
          <w:rFonts w:asciiTheme="majorBidi" w:hAnsiTheme="majorBidi" w:cstheme="majorBidi"/>
          <w:color w:val="000000" w:themeColor="text1"/>
          <w:sz w:val="24"/>
          <w:szCs w:val="24"/>
        </w:rPr>
        <w:t xml:space="preserve">Itoh K, Tsushima S, Tsukamoto E, Tamaki N. Accuracy of plasma sample methods for determination of glomerular filtration rate with 99mTc-DTPA. Ann </w:t>
      </w:r>
      <w:proofErr w:type="spellStart"/>
      <w:r w:rsidRPr="007E0358">
        <w:rPr>
          <w:rFonts w:asciiTheme="majorBidi" w:hAnsiTheme="majorBidi" w:cstheme="majorBidi"/>
          <w:color w:val="000000" w:themeColor="text1"/>
          <w:sz w:val="24"/>
          <w:szCs w:val="24"/>
        </w:rPr>
        <w:t>Nucl</w:t>
      </w:r>
      <w:proofErr w:type="spellEnd"/>
      <w:r w:rsidRPr="007E0358">
        <w:rPr>
          <w:rFonts w:asciiTheme="majorBidi" w:hAnsiTheme="majorBidi" w:cstheme="majorBidi"/>
          <w:color w:val="000000" w:themeColor="text1"/>
          <w:sz w:val="24"/>
          <w:szCs w:val="24"/>
        </w:rPr>
        <w:t xml:space="preserve"> Med. </w:t>
      </w:r>
      <w:proofErr w:type="gramStart"/>
      <w:r w:rsidRPr="007E0358">
        <w:rPr>
          <w:rFonts w:asciiTheme="majorBidi" w:hAnsiTheme="majorBidi" w:cstheme="majorBidi"/>
          <w:color w:val="000000" w:themeColor="text1"/>
          <w:sz w:val="24"/>
          <w:szCs w:val="24"/>
        </w:rPr>
        <w:t>2002;16:39</w:t>
      </w:r>
      <w:proofErr w:type="gramEnd"/>
      <w:r w:rsidRPr="007E0358">
        <w:rPr>
          <w:rFonts w:asciiTheme="majorBidi" w:hAnsiTheme="majorBidi" w:cstheme="majorBidi"/>
          <w:color w:val="000000" w:themeColor="text1"/>
          <w:sz w:val="24"/>
          <w:szCs w:val="24"/>
        </w:rPr>
        <w:t>-44.</w:t>
      </w:r>
    </w:p>
    <w:p w:rsidR="007E0358" w:rsidRPr="007E0358" w:rsidRDefault="007E0358" w:rsidP="007E0358">
      <w:pPr>
        <w:pStyle w:val="ListParagraph"/>
        <w:numPr>
          <w:ilvl w:val="0"/>
          <w:numId w:val="2"/>
        </w:numPr>
        <w:autoSpaceDE w:val="0"/>
        <w:autoSpaceDN w:val="0"/>
        <w:adjustRightInd w:val="0"/>
        <w:spacing w:after="0" w:line="240" w:lineRule="auto"/>
        <w:ind w:left="360"/>
        <w:jc w:val="lowKashida"/>
        <w:rPr>
          <w:rFonts w:asciiTheme="majorBidi" w:hAnsiTheme="majorBidi" w:cstheme="majorBidi"/>
          <w:color w:val="000000" w:themeColor="text1"/>
          <w:sz w:val="24"/>
          <w:szCs w:val="24"/>
        </w:rPr>
      </w:pPr>
      <w:r w:rsidRPr="007E0358">
        <w:rPr>
          <w:rFonts w:asciiTheme="majorBidi" w:hAnsiTheme="majorBidi" w:cstheme="majorBidi"/>
          <w:color w:val="000000" w:themeColor="text1"/>
          <w:sz w:val="24"/>
          <w:szCs w:val="24"/>
        </w:rPr>
        <w:t xml:space="preserve">Fatima N, Zaman M, </w:t>
      </w:r>
      <w:proofErr w:type="spellStart"/>
      <w:r w:rsidRPr="007E0358">
        <w:rPr>
          <w:rFonts w:asciiTheme="majorBidi" w:hAnsiTheme="majorBidi" w:cstheme="majorBidi"/>
          <w:color w:val="000000" w:themeColor="text1"/>
          <w:sz w:val="24"/>
          <w:szCs w:val="24"/>
        </w:rPr>
        <w:t>Niaz</w:t>
      </w:r>
      <w:proofErr w:type="spellEnd"/>
      <w:r w:rsidRPr="007E0358">
        <w:rPr>
          <w:rFonts w:asciiTheme="majorBidi" w:hAnsiTheme="majorBidi" w:cstheme="majorBidi"/>
          <w:color w:val="000000" w:themeColor="text1"/>
          <w:sz w:val="24"/>
          <w:szCs w:val="24"/>
        </w:rPr>
        <w:t xml:space="preserve"> K, et al. Estimation of GFR using Tc-99m DTPA plasma sample 1, Gate's methods, Cockcroft-Gault method, PCC method: A prospective comparative analysis with plasma 2 sample clearance method. JDUHS. </w:t>
      </w:r>
      <w:proofErr w:type="gramStart"/>
      <w:r w:rsidRPr="007E0358">
        <w:rPr>
          <w:rFonts w:asciiTheme="majorBidi" w:hAnsiTheme="majorBidi" w:cstheme="majorBidi"/>
          <w:color w:val="000000" w:themeColor="text1"/>
          <w:sz w:val="24"/>
          <w:szCs w:val="24"/>
        </w:rPr>
        <w:t>2008;2:65</w:t>
      </w:r>
      <w:proofErr w:type="gramEnd"/>
      <w:r w:rsidRPr="007E0358">
        <w:rPr>
          <w:rFonts w:asciiTheme="majorBidi" w:hAnsiTheme="majorBidi" w:cstheme="majorBidi"/>
          <w:color w:val="000000" w:themeColor="text1"/>
          <w:sz w:val="24"/>
          <w:szCs w:val="24"/>
        </w:rPr>
        <w:t>-70.</w:t>
      </w:r>
    </w:p>
    <w:p w:rsidR="00612EC3" w:rsidRPr="006605A6" w:rsidRDefault="00612EC3" w:rsidP="007E0358">
      <w:pPr>
        <w:pStyle w:val="ListParagraph"/>
        <w:autoSpaceDE w:val="0"/>
        <w:autoSpaceDN w:val="0"/>
        <w:adjustRightInd w:val="0"/>
        <w:spacing w:after="0" w:line="240" w:lineRule="auto"/>
        <w:ind w:left="360"/>
        <w:jc w:val="lowKashida"/>
        <w:rPr>
          <w:rFonts w:asciiTheme="majorBidi" w:hAnsiTheme="majorBidi" w:cstheme="majorBidi"/>
          <w:color w:val="000000" w:themeColor="text1"/>
          <w:sz w:val="24"/>
          <w:szCs w:val="24"/>
        </w:rPr>
      </w:pPr>
    </w:p>
    <w:p w:rsidR="006605A6" w:rsidRPr="006605A6" w:rsidRDefault="006605A6" w:rsidP="006605A6">
      <w:pPr>
        <w:pStyle w:val="ListParagraph"/>
        <w:autoSpaceDE w:val="0"/>
        <w:autoSpaceDN w:val="0"/>
        <w:adjustRightInd w:val="0"/>
        <w:spacing w:after="0" w:line="240" w:lineRule="auto"/>
        <w:ind w:left="360"/>
        <w:jc w:val="lowKashida"/>
        <w:rPr>
          <w:rFonts w:asciiTheme="majorBidi" w:hAnsiTheme="majorBidi" w:cstheme="majorBidi"/>
          <w:color w:val="000000" w:themeColor="text1"/>
          <w:sz w:val="24"/>
          <w:szCs w:val="24"/>
        </w:rPr>
      </w:pPr>
    </w:p>
    <w:p w:rsidR="00325637" w:rsidRPr="00707EA6" w:rsidRDefault="00325637" w:rsidP="00707EA6">
      <w:pPr>
        <w:spacing w:line="240" w:lineRule="auto"/>
        <w:jc w:val="lowKashida"/>
        <w:rPr>
          <w:rFonts w:asciiTheme="majorBidi" w:hAnsiTheme="majorBidi" w:cstheme="majorBidi"/>
          <w:color w:val="FF0000"/>
          <w:sz w:val="24"/>
          <w:szCs w:val="24"/>
        </w:rPr>
      </w:pPr>
    </w:p>
    <w:sectPr w:rsidR="00325637" w:rsidRPr="00707EA6" w:rsidSect="00AB1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6BA"/>
    <w:multiLevelType w:val="multilevel"/>
    <w:tmpl w:val="6734B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04593C"/>
    <w:multiLevelType w:val="hybridMultilevel"/>
    <w:tmpl w:val="09820EB2"/>
    <w:lvl w:ilvl="0" w:tplc="254C394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13514D"/>
    <w:multiLevelType w:val="multilevel"/>
    <w:tmpl w:val="6BDC3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DA0874"/>
    <w:multiLevelType w:val="multilevel"/>
    <w:tmpl w:val="E70E8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329BB"/>
    <w:multiLevelType w:val="hybridMultilevel"/>
    <w:tmpl w:val="FD3ECF68"/>
    <w:lvl w:ilvl="0" w:tplc="5838C900">
      <w:start w:val="1"/>
      <w:numFmt w:val="upp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025B89"/>
    <w:multiLevelType w:val="multilevel"/>
    <w:tmpl w:val="D4D8F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645AA8"/>
    <w:multiLevelType w:val="multilevel"/>
    <w:tmpl w:val="565EB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6"/>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7B1B1F"/>
    <w:rsid w:val="000042CD"/>
    <w:rsid w:val="00013C3A"/>
    <w:rsid w:val="000162AB"/>
    <w:rsid w:val="00021D9E"/>
    <w:rsid w:val="0004386D"/>
    <w:rsid w:val="000614BB"/>
    <w:rsid w:val="00071BD3"/>
    <w:rsid w:val="00097CA2"/>
    <w:rsid w:val="000B3C72"/>
    <w:rsid w:val="0011294D"/>
    <w:rsid w:val="00112F1B"/>
    <w:rsid w:val="0013370A"/>
    <w:rsid w:val="00164D47"/>
    <w:rsid w:val="001C2FCC"/>
    <w:rsid w:val="002162F8"/>
    <w:rsid w:val="00260F9B"/>
    <w:rsid w:val="002C5ABA"/>
    <w:rsid w:val="003219D1"/>
    <w:rsid w:val="00325637"/>
    <w:rsid w:val="003805EB"/>
    <w:rsid w:val="00391F8E"/>
    <w:rsid w:val="00411ABD"/>
    <w:rsid w:val="00427098"/>
    <w:rsid w:val="00522AB5"/>
    <w:rsid w:val="00524483"/>
    <w:rsid w:val="005363E3"/>
    <w:rsid w:val="00552190"/>
    <w:rsid w:val="0058014B"/>
    <w:rsid w:val="00591CEC"/>
    <w:rsid w:val="005A209D"/>
    <w:rsid w:val="005F00CC"/>
    <w:rsid w:val="0061162C"/>
    <w:rsid w:val="00612EC3"/>
    <w:rsid w:val="006605A6"/>
    <w:rsid w:val="00707EA6"/>
    <w:rsid w:val="00752573"/>
    <w:rsid w:val="00772BD9"/>
    <w:rsid w:val="00783924"/>
    <w:rsid w:val="007B1B1F"/>
    <w:rsid w:val="007D595F"/>
    <w:rsid w:val="007E0358"/>
    <w:rsid w:val="00833096"/>
    <w:rsid w:val="0084373C"/>
    <w:rsid w:val="00883FDA"/>
    <w:rsid w:val="008D13D8"/>
    <w:rsid w:val="008D38B9"/>
    <w:rsid w:val="008E081B"/>
    <w:rsid w:val="00986A6F"/>
    <w:rsid w:val="009E7FB5"/>
    <w:rsid w:val="00A035B6"/>
    <w:rsid w:val="00A1277F"/>
    <w:rsid w:val="00A8001E"/>
    <w:rsid w:val="00AB102F"/>
    <w:rsid w:val="00AB2DB8"/>
    <w:rsid w:val="00AE2763"/>
    <w:rsid w:val="00B17B42"/>
    <w:rsid w:val="00B32E3E"/>
    <w:rsid w:val="00B53E62"/>
    <w:rsid w:val="00B62D3E"/>
    <w:rsid w:val="00BC0985"/>
    <w:rsid w:val="00C23C63"/>
    <w:rsid w:val="00C848FA"/>
    <w:rsid w:val="00CC7290"/>
    <w:rsid w:val="00CD49E7"/>
    <w:rsid w:val="00CF3DFC"/>
    <w:rsid w:val="00D3288F"/>
    <w:rsid w:val="00D32BDE"/>
    <w:rsid w:val="00D57C3B"/>
    <w:rsid w:val="00D84D5A"/>
    <w:rsid w:val="00DD2683"/>
    <w:rsid w:val="00E353C2"/>
    <w:rsid w:val="00E43494"/>
    <w:rsid w:val="00E72221"/>
    <w:rsid w:val="00EA14CE"/>
    <w:rsid w:val="00F41928"/>
    <w:rsid w:val="00F825FB"/>
    <w:rsid w:val="00F976B2"/>
    <w:rsid w:val="00FC3242"/>
    <w:rsid w:val="00FD2C8F"/>
    <w:rsid w:val="00FE48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6D305"/>
  <w15:docId w15:val="{652E8BCA-1993-4070-B831-8FDD8DA5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02F"/>
  </w:style>
  <w:style w:type="paragraph" w:styleId="Heading1">
    <w:name w:val="heading 1"/>
    <w:basedOn w:val="Normal"/>
    <w:next w:val="Normal"/>
    <w:link w:val="Heading1Char"/>
    <w:uiPriority w:val="9"/>
    <w:qFormat/>
    <w:rsid w:val="00772B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1B1F"/>
    <w:rPr>
      <w:color w:val="0000FF"/>
      <w:u w:val="single"/>
    </w:rPr>
  </w:style>
  <w:style w:type="character" w:styleId="Strong">
    <w:name w:val="Strong"/>
    <w:basedOn w:val="DefaultParagraphFont"/>
    <w:uiPriority w:val="22"/>
    <w:qFormat/>
    <w:rsid w:val="00D32BDE"/>
    <w:rPr>
      <w:b/>
      <w:bCs/>
    </w:rPr>
  </w:style>
  <w:style w:type="paragraph" w:customStyle="1" w:styleId="Default">
    <w:name w:val="Default"/>
    <w:rsid w:val="00B17B42"/>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NormalWeb">
    <w:name w:val="Normal (Web)"/>
    <w:basedOn w:val="Normal"/>
    <w:uiPriority w:val="99"/>
    <w:unhideWhenUsed/>
    <w:rsid w:val="00EA14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2763"/>
    <w:rPr>
      <w:i/>
      <w:iCs/>
    </w:rPr>
  </w:style>
  <w:style w:type="paragraph" w:styleId="ListParagraph">
    <w:name w:val="List Paragraph"/>
    <w:basedOn w:val="Normal"/>
    <w:uiPriority w:val="34"/>
    <w:qFormat/>
    <w:rsid w:val="00A8001E"/>
    <w:pPr>
      <w:ind w:left="720"/>
      <w:contextualSpacing/>
    </w:pPr>
  </w:style>
  <w:style w:type="paragraph" w:styleId="BalloonText">
    <w:name w:val="Balloon Text"/>
    <w:basedOn w:val="Normal"/>
    <w:link w:val="BalloonTextChar"/>
    <w:uiPriority w:val="99"/>
    <w:semiHidden/>
    <w:unhideWhenUsed/>
    <w:rsid w:val="00A80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01E"/>
    <w:rPr>
      <w:rFonts w:ascii="Tahoma" w:hAnsi="Tahoma" w:cs="Tahoma"/>
      <w:sz w:val="16"/>
      <w:szCs w:val="16"/>
    </w:rPr>
  </w:style>
  <w:style w:type="paragraph" w:customStyle="1" w:styleId="authors">
    <w:name w:val="authors"/>
    <w:basedOn w:val="Normal"/>
    <w:rsid w:val="004270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72BD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86975">
      <w:bodyDiv w:val="1"/>
      <w:marLeft w:val="0"/>
      <w:marRight w:val="0"/>
      <w:marTop w:val="0"/>
      <w:marBottom w:val="0"/>
      <w:divBdr>
        <w:top w:val="none" w:sz="0" w:space="0" w:color="auto"/>
        <w:left w:val="none" w:sz="0" w:space="0" w:color="auto"/>
        <w:bottom w:val="none" w:sz="0" w:space="0" w:color="auto"/>
        <w:right w:val="none" w:sz="0" w:space="0" w:color="auto"/>
      </w:divBdr>
    </w:div>
    <w:div w:id="507791427">
      <w:bodyDiv w:val="1"/>
      <w:marLeft w:val="0"/>
      <w:marRight w:val="0"/>
      <w:marTop w:val="0"/>
      <w:marBottom w:val="0"/>
      <w:divBdr>
        <w:top w:val="none" w:sz="0" w:space="0" w:color="auto"/>
        <w:left w:val="none" w:sz="0" w:space="0" w:color="auto"/>
        <w:bottom w:val="none" w:sz="0" w:space="0" w:color="auto"/>
        <w:right w:val="none" w:sz="0" w:space="0" w:color="auto"/>
      </w:divBdr>
    </w:div>
    <w:div w:id="896280675">
      <w:bodyDiv w:val="1"/>
      <w:marLeft w:val="0"/>
      <w:marRight w:val="0"/>
      <w:marTop w:val="0"/>
      <w:marBottom w:val="0"/>
      <w:divBdr>
        <w:top w:val="none" w:sz="0" w:space="0" w:color="auto"/>
        <w:left w:val="none" w:sz="0" w:space="0" w:color="auto"/>
        <w:bottom w:val="none" w:sz="0" w:space="0" w:color="auto"/>
        <w:right w:val="none" w:sz="0" w:space="0" w:color="auto"/>
      </w:divBdr>
    </w:div>
    <w:div w:id="1024867633">
      <w:bodyDiv w:val="1"/>
      <w:marLeft w:val="0"/>
      <w:marRight w:val="0"/>
      <w:marTop w:val="0"/>
      <w:marBottom w:val="0"/>
      <w:divBdr>
        <w:top w:val="none" w:sz="0" w:space="0" w:color="auto"/>
        <w:left w:val="none" w:sz="0" w:space="0" w:color="auto"/>
        <w:bottom w:val="none" w:sz="0" w:space="0" w:color="auto"/>
        <w:right w:val="none" w:sz="0" w:space="0" w:color="auto"/>
      </w:divBdr>
    </w:div>
    <w:div w:id="1555778298">
      <w:bodyDiv w:val="1"/>
      <w:marLeft w:val="0"/>
      <w:marRight w:val="0"/>
      <w:marTop w:val="0"/>
      <w:marBottom w:val="0"/>
      <w:divBdr>
        <w:top w:val="none" w:sz="0" w:space="0" w:color="auto"/>
        <w:left w:val="none" w:sz="0" w:space="0" w:color="auto"/>
        <w:bottom w:val="none" w:sz="0" w:space="0" w:color="auto"/>
        <w:right w:val="none" w:sz="0" w:space="0" w:color="auto"/>
      </w:divBdr>
    </w:div>
    <w:div w:id="1617104842">
      <w:bodyDiv w:val="1"/>
      <w:marLeft w:val="0"/>
      <w:marRight w:val="0"/>
      <w:marTop w:val="0"/>
      <w:marBottom w:val="0"/>
      <w:divBdr>
        <w:top w:val="none" w:sz="0" w:space="0" w:color="auto"/>
        <w:left w:val="none" w:sz="0" w:space="0" w:color="auto"/>
        <w:bottom w:val="none" w:sz="0" w:space="0" w:color="auto"/>
        <w:right w:val="none" w:sz="0" w:space="0" w:color="auto"/>
      </w:divBdr>
    </w:div>
    <w:div w:id="187191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lamin\Desktop\new%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lamin\Desktop\new%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lamin\Desktop\new%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lamin\Desktop\new%20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Sc\aya%20ahmed\new%20version\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lamin\Desktop\new%20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MSc\aya%20ahmed\new%20version\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9"/>
            <c:spPr>
              <a:solidFill>
                <a:sysClr val="windowText" lastClr="000000"/>
              </a:solidFill>
            </c:spPr>
          </c:marker>
          <c:trendline>
            <c:trendlineType val="linear"/>
            <c:dispRSqr val="0"/>
            <c:dispEq val="1"/>
            <c:trendlineLbl>
              <c:layout>
                <c:manualLayout>
                  <c:x val="0.16528125531071206"/>
                  <c:y val="-0.31259941563908283"/>
                </c:manualLayout>
              </c:layout>
              <c:tx>
                <c:rich>
                  <a:bodyPr/>
                  <a:lstStyle/>
                  <a:p>
                    <a:pPr>
                      <a:defRPr sz="1600" b="1"/>
                    </a:pPr>
                    <a:r>
                      <a:rPr lang="en-US" baseline="0"/>
                      <a:t>y= -9.787× + 113.8</a:t>
                    </a:r>
                    <a:endParaRPr lang="en-US"/>
                  </a:p>
                </c:rich>
              </c:tx>
              <c:numFmt formatCode="General" sourceLinked="0"/>
            </c:trendlineLbl>
          </c:trendline>
          <c:yVal>
            <c:numRef>
              <c:f>'cycle data'!$G$2:$G$7</c:f>
              <c:numCache>
                <c:formatCode>0.00</c:formatCode>
                <c:ptCount val="6"/>
                <c:pt idx="0">
                  <c:v>110.28</c:v>
                </c:pt>
                <c:pt idx="1">
                  <c:v>84.496666666666727</c:v>
                </c:pt>
                <c:pt idx="2">
                  <c:v>85.513478260869519</c:v>
                </c:pt>
                <c:pt idx="3">
                  <c:v>76.497272727273227</c:v>
                </c:pt>
                <c:pt idx="4">
                  <c:v>66.004999999999995</c:v>
                </c:pt>
                <c:pt idx="5">
                  <c:v>54.666250000000012</c:v>
                </c:pt>
              </c:numCache>
            </c:numRef>
          </c:yVal>
          <c:smooth val="0"/>
          <c:extLst>
            <c:ext xmlns:c16="http://schemas.microsoft.com/office/drawing/2014/chart" uri="{C3380CC4-5D6E-409C-BE32-E72D297353CC}">
              <c16:uniqueId val="{00000001-5D51-42FF-8E06-4455DACA1E2F}"/>
            </c:ext>
          </c:extLst>
        </c:ser>
        <c:dLbls>
          <c:showLegendKey val="0"/>
          <c:showVal val="0"/>
          <c:showCatName val="0"/>
          <c:showSerName val="0"/>
          <c:showPercent val="0"/>
          <c:showBubbleSize val="0"/>
        </c:dLbls>
        <c:axId val="124233216"/>
        <c:axId val="124235136"/>
      </c:scatterChart>
      <c:valAx>
        <c:axId val="124233216"/>
        <c:scaling>
          <c:orientation val="minMax"/>
        </c:scaling>
        <c:delete val="0"/>
        <c:axPos val="b"/>
        <c:title>
          <c:tx>
            <c:rich>
              <a:bodyPr/>
              <a:lstStyle/>
              <a:p>
                <a:pPr>
                  <a:defRPr sz="1600"/>
                </a:pPr>
                <a:r>
                  <a:rPr lang="en-US" sz="1600"/>
                  <a:t>Number</a:t>
                </a:r>
                <a:r>
                  <a:rPr lang="en-US" sz="1600" baseline="0"/>
                  <a:t> of chemotherapy cycle</a:t>
                </a:r>
                <a:endParaRPr lang="en-US" sz="1600"/>
              </a:p>
            </c:rich>
          </c:tx>
          <c:overlay val="0"/>
        </c:title>
        <c:majorTickMark val="none"/>
        <c:minorTickMark val="none"/>
        <c:tickLblPos val="nextTo"/>
        <c:txPr>
          <a:bodyPr/>
          <a:lstStyle/>
          <a:p>
            <a:pPr>
              <a:defRPr sz="1400" b="1"/>
            </a:pPr>
            <a:endParaRPr lang="en-US"/>
          </a:p>
        </c:txPr>
        <c:crossAx val="124235136"/>
        <c:crosses val="autoZero"/>
        <c:crossBetween val="midCat"/>
      </c:valAx>
      <c:valAx>
        <c:axId val="124235136"/>
        <c:scaling>
          <c:orientation val="minMax"/>
        </c:scaling>
        <c:delete val="0"/>
        <c:axPos val="l"/>
        <c:majorGridlines/>
        <c:title>
          <c:tx>
            <c:rich>
              <a:bodyPr/>
              <a:lstStyle/>
              <a:p>
                <a:pPr>
                  <a:defRPr sz="1600"/>
                </a:pPr>
                <a:r>
                  <a:rPr lang="en-US" sz="1600" b="1" i="0" baseline="0"/>
                  <a:t>Total GFR (ml/min)</a:t>
                </a:r>
                <a:endParaRPr lang="en-US" sz="1600"/>
              </a:p>
            </c:rich>
          </c:tx>
          <c:overlay val="0"/>
        </c:title>
        <c:numFmt formatCode="0" sourceLinked="0"/>
        <c:majorTickMark val="none"/>
        <c:minorTickMark val="none"/>
        <c:tickLblPos val="nextTo"/>
        <c:txPr>
          <a:bodyPr/>
          <a:lstStyle/>
          <a:p>
            <a:pPr>
              <a:defRPr sz="1400" b="1"/>
            </a:pPr>
            <a:endParaRPr lang="en-US"/>
          </a:p>
        </c:txPr>
        <c:crossAx val="124233216"/>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9"/>
            <c:spPr>
              <a:solidFill>
                <a:sysClr val="windowText" lastClr="000000"/>
              </a:solidFill>
            </c:spPr>
          </c:marker>
          <c:trendline>
            <c:trendlineType val="linear"/>
            <c:dispRSqr val="0"/>
            <c:dispEq val="1"/>
            <c:trendlineLbl>
              <c:layout>
                <c:manualLayout>
                  <c:x val="4.1432879527143099E-2"/>
                  <c:y val="-0.33803219287854502"/>
                </c:manualLayout>
              </c:layout>
              <c:tx>
                <c:rich>
                  <a:bodyPr/>
                  <a:lstStyle/>
                  <a:p>
                    <a:pPr>
                      <a:defRPr/>
                    </a:pPr>
                    <a:r>
                      <a:rPr lang="en-US" sz="1400"/>
                      <a:t>y= -3.655 x + 94.21</a:t>
                    </a:r>
                  </a:p>
                </c:rich>
              </c:tx>
              <c:numFmt formatCode="General" sourceLinked="0"/>
            </c:trendlineLbl>
          </c:trendline>
          <c:yVal>
            <c:numRef>
              <c:f>'cycle data'!$B$2:$B$7</c:f>
              <c:numCache>
                <c:formatCode>0.00</c:formatCode>
                <c:ptCount val="6"/>
                <c:pt idx="0">
                  <c:v>95</c:v>
                </c:pt>
                <c:pt idx="1">
                  <c:v>83.229166666666671</c:v>
                </c:pt>
                <c:pt idx="2">
                  <c:v>82.437681304348814</c:v>
                </c:pt>
                <c:pt idx="3">
                  <c:v>76.134027727272766</c:v>
                </c:pt>
                <c:pt idx="4">
                  <c:v>77.788348444443429</c:v>
                </c:pt>
                <c:pt idx="5">
                  <c:v>73.934722062500015</c:v>
                </c:pt>
              </c:numCache>
            </c:numRef>
          </c:yVal>
          <c:smooth val="0"/>
          <c:extLst>
            <c:ext xmlns:c16="http://schemas.microsoft.com/office/drawing/2014/chart" uri="{C3380CC4-5D6E-409C-BE32-E72D297353CC}">
              <c16:uniqueId val="{00000001-9333-4823-8F44-D551978AC3DD}"/>
            </c:ext>
          </c:extLst>
        </c:ser>
        <c:dLbls>
          <c:showLegendKey val="0"/>
          <c:showVal val="0"/>
          <c:showCatName val="0"/>
          <c:showSerName val="0"/>
          <c:showPercent val="0"/>
          <c:showBubbleSize val="0"/>
        </c:dLbls>
        <c:axId val="76042624"/>
        <c:axId val="76044544"/>
      </c:scatterChart>
      <c:valAx>
        <c:axId val="76042624"/>
        <c:scaling>
          <c:orientation val="minMax"/>
        </c:scaling>
        <c:delete val="0"/>
        <c:axPos val="b"/>
        <c:title>
          <c:tx>
            <c:rich>
              <a:bodyPr/>
              <a:lstStyle/>
              <a:p>
                <a:pPr>
                  <a:defRPr sz="1600"/>
                </a:pPr>
                <a:r>
                  <a:rPr lang="en-US" sz="1600"/>
                  <a:t>Number of chemotheraoy cycles</a:t>
                </a:r>
              </a:p>
            </c:rich>
          </c:tx>
          <c:overlay val="0"/>
        </c:title>
        <c:majorTickMark val="none"/>
        <c:minorTickMark val="none"/>
        <c:tickLblPos val="nextTo"/>
        <c:crossAx val="76044544"/>
        <c:crosses val="autoZero"/>
        <c:crossBetween val="midCat"/>
      </c:valAx>
      <c:valAx>
        <c:axId val="76044544"/>
        <c:scaling>
          <c:orientation val="minMax"/>
          <c:min val="60"/>
        </c:scaling>
        <c:delete val="0"/>
        <c:axPos val="l"/>
        <c:majorGridlines/>
        <c:title>
          <c:tx>
            <c:rich>
              <a:bodyPr/>
              <a:lstStyle/>
              <a:p>
                <a:pPr>
                  <a:defRPr/>
                </a:pPr>
                <a:r>
                  <a:rPr lang="en-US"/>
                  <a:t>Serum creatinine clearance </a:t>
                </a:r>
                <a:r>
                  <a:rPr lang="en-US" sz="1400" b="1" i="0" u="none" strike="noStrike" baseline="0"/>
                  <a:t>(ml/min)</a:t>
                </a:r>
                <a:r>
                  <a:rPr lang="en-US"/>
                  <a:t>  </a:t>
                </a:r>
              </a:p>
            </c:rich>
          </c:tx>
          <c:overlay val="0"/>
        </c:title>
        <c:numFmt formatCode="0" sourceLinked="0"/>
        <c:majorTickMark val="none"/>
        <c:minorTickMark val="none"/>
        <c:tickLblPos val="nextTo"/>
        <c:crossAx val="76042624"/>
        <c:crosses val="autoZero"/>
        <c:crossBetween val="midCat"/>
      </c:valAx>
    </c:plotArea>
    <c:plotVisOnly val="1"/>
    <c:dispBlanksAs val="gap"/>
    <c:showDLblsOverMax val="0"/>
  </c:chart>
  <c:txPr>
    <a:bodyPr/>
    <a:lstStyle/>
    <a:p>
      <a:pPr>
        <a:defRPr sz="1400" b="1"/>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9"/>
            <c:spPr>
              <a:solidFill>
                <a:sysClr val="windowText" lastClr="000000"/>
              </a:solidFill>
            </c:spPr>
          </c:marker>
          <c:trendline>
            <c:trendlineType val="linear"/>
            <c:dispRSqr val="1"/>
            <c:dispEq val="1"/>
            <c:trendlineLbl>
              <c:layout>
                <c:manualLayout>
                  <c:x val="-0.33042213473315835"/>
                  <c:y val="-0.13836587763990801"/>
                </c:manualLayout>
              </c:layout>
              <c:tx>
                <c:rich>
                  <a:bodyPr/>
                  <a:lstStyle/>
                  <a:p>
                    <a:pPr>
                      <a:defRPr sz="1600" b="1"/>
                    </a:pPr>
                    <a:r>
                      <a:rPr lang="en-US" baseline="0"/>
                      <a:t>y= 0.833× GFR - 1.378</a:t>
                    </a:r>
                    <a:endParaRPr lang="en-US"/>
                  </a:p>
                </c:rich>
              </c:tx>
              <c:numFmt formatCode="General" sourceLinked="0"/>
            </c:trendlineLbl>
          </c:trendline>
          <c:xVal>
            <c:numRef>
              <c:f>data!$R$3:$R$86</c:f>
              <c:numCache>
                <c:formatCode>General</c:formatCode>
                <c:ptCount val="84"/>
                <c:pt idx="0">
                  <c:v>120</c:v>
                </c:pt>
                <c:pt idx="1">
                  <c:v>75.562000000000012</c:v>
                </c:pt>
                <c:pt idx="2">
                  <c:v>86.125999999999948</c:v>
                </c:pt>
                <c:pt idx="3">
                  <c:v>80.843999999999994</c:v>
                </c:pt>
                <c:pt idx="4">
                  <c:v>80.843999999999994</c:v>
                </c:pt>
                <c:pt idx="5">
                  <c:v>80.843999999999994</c:v>
                </c:pt>
                <c:pt idx="6">
                  <c:v>80.843999999999994</c:v>
                </c:pt>
                <c:pt idx="7">
                  <c:v>121</c:v>
                </c:pt>
                <c:pt idx="8">
                  <c:v>75.562000000000012</c:v>
                </c:pt>
                <c:pt idx="9">
                  <c:v>110</c:v>
                </c:pt>
                <c:pt idx="10">
                  <c:v>80.843999999999994</c:v>
                </c:pt>
                <c:pt idx="11">
                  <c:v>75.562000000000012</c:v>
                </c:pt>
                <c:pt idx="12">
                  <c:v>115</c:v>
                </c:pt>
                <c:pt idx="13">
                  <c:v>86.125999999999948</c:v>
                </c:pt>
                <c:pt idx="14">
                  <c:v>86.125999999999948</c:v>
                </c:pt>
                <c:pt idx="15">
                  <c:v>124</c:v>
                </c:pt>
                <c:pt idx="16">
                  <c:v>111</c:v>
                </c:pt>
                <c:pt idx="17">
                  <c:v>86.125999999999948</c:v>
                </c:pt>
                <c:pt idx="18">
                  <c:v>110</c:v>
                </c:pt>
                <c:pt idx="19">
                  <c:v>86.125999999999948</c:v>
                </c:pt>
                <c:pt idx="20">
                  <c:v>86.125999999999948</c:v>
                </c:pt>
                <c:pt idx="21">
                  <c:v>80.843999999999994</c:v>
                </c:pt>
                <c:pt idx="22">
                  <c:v>75.562000000000012</c:v>
                </c:pt>
                <c:pt idx="23">
                  <c:v>75.562000000000012</c:v>
                </c:pt>
                <c:pt idx="24">
                  <c:v>80.843999999999994</c:v>
                </c:pt>
                <c:pt idx="25">
                  <c:v>86.125999999999948</c:v>
                </c:pt>
                <c:pt idx="26">
                  <c:v>96.69</c:v>
                </c:pt>
                <c:pt idx="27">
                  <c:v>80.843999999999994</c:v>
                </c:pt>
                <c:pt idx="28">
                  <c:v>91.408000000000001</c:v>
                </c:pt>
                <c:pt idx="29">
                  <c:v>86.125999999999948</c:v>
                </c:pt>
                <c:pt idx="30">
                  <c:v>80.843999999999994</c:v>
                </c:pt>
                <c:pt idx="31">
                  <c:v>75.562000000000012</c:v>
                </c:pt>
                <c:pt idx="32">
                  <c:v>75.562000000000012</c:v>
                </c:pt>
                <c:pt idx="33">
                  <c:v>75.562000000000012</c:v>
                </c:pt>
                <c:pt idx="34">
                  <c:v>86.125999999999948</c:v>
                </c:pt>
                <c:pt idx="35">
                  <c:v>86.125999999999948</c:v>
                </c:pt>
                <c:pt idx="36">
                  <c:v>86.125999999999948</c:v>
                </c:pt>
                <c:pt idx="37">
                  <c:v>102</c:v>
                </c:pt>
                <c:pt idx="38">
                  <c:v>80.843999999999994</c:v>
                </c:pt>
                <c:pt idx="39">
                  <c:v>70.28</c:v>
                </c:pt>
                <c:pt idx="40">
                  <c:v>86.125999999999948</c:v>
                </c:pt>
                <c:pt idx="41">
                  <c:v>86.125999999999948</c:v>
                </c:pt>
                <c:pt idx="42">
                  <c:v>91.408000000000001</c:v>
                </c:pt>
                <c:pt idx="43">
                  <c:v>86.125999999999948</c:v>
                </c:pt>
                <c:pt idx="44">
                  <c:v>80.843999999999994</c:v>
                </c:pt>
                <c:pt idx="45">
                  <c:v>86.125999999999948</c:v>
                </c:pt>
                <c:pt idx="46">
                  <c:v>80.843999999999994</c:v>
                </c:pt>
                <c:pt idx="47">
                  <c:v>80.843999999999994</c:v>
                </c:pt>
                <c:pt idx="48">
                  <c:v>80.843999999999994</c:v>
                </c:pt>
                <c:pt idx="49">
                  <c:v>86.125999999999948</c:v>
                </c:pt>
                <c:pt idx="50">
                  <c:v>80.843999999999994</c:v>
                </c:pt>
                <c:pt idx="51">
                  <c:v>80.843999999999994</c:v>
                </c:pt>
                <c:pt idx="52">
                  <c:v>64.998000000000005</c:v>
                </c:pt>
                <c:pt idx="53">
                  <c:v>101</c:v>
                </c:pt>
                <c:pt idx="54">
                  <c:v>86.125999999999948</c:v>
                </c:pt>
                <c:pt idx="55">
                  <c:v>110</c:v>
                </c:pt>
                <c:pt idx="56">
                  <c:v>122</c:v>
                </c:pt>
                <c:pt idx="57">
                  <c:v>80.843999999999994</c:v>
                </c:pt>
                <c:pt idx="58">
                  <c:v>86.125999999999948</c:v>
                </c:pt>
                <c:pt idx="59">
                  <c:v>91.408000000000001</c:v>
                </c:pt>
                <c:pt idx="60">
                  <c:v>104</c:v>
                </c:pt>
                <c:pt idx="61">
                  <c:v>80.843999999999994</c:v>
                </c:pt>
                <c:pt idx="62">
                  <c:v>102</c:v>
                </c:pt>
                <c:pt idx="63">
                  <c:v>86.125999999999948</c:v>
                </c:pt>
                <c:pt idx="64">
                  <c:v>112</c:v>
                </c:pt>
                <c:pt idx="65">
                  <c:v>91.408000000000001</c:v>
                </c:pt>
                <c:pt idx="66">
                  <c:v>103</c:v>
                </c:pt>
                <c:pt idx="67">
                  <c:v>75.562000000000012</c:v>
                </c:pt>
                <c:pt idx="68">
                  <c:v>101</c:v>
                </c:pt>
                <c:pt idx="69">
                  <c:v>102</c:v>
                </c:pt>
                <c:pt idx="70">
                  <c:v>91.408000000000001</c:v>
                </c:pt>
                <c:pt idx="71">
                  <c:v>96.69</c:v>
                </c:pt>
                <c:pt idx="72">
                  <c:v>80.843999999999994</c:v>
                </c:pt>
                <c:pt idx="73">
                  <c:v>80.843999999999994</c:v>
                </c:pt>
                <c:pt idx="74">
                  <c:v>80.843999999999994</c:v>
                </c:pt>
                <c:pt idx="75">
                  <c:v>91.408000000000001</c:v>
                </c:pt>
                <c:pt idx="76">
                  <c:v>113</c:v>
                </c:pt>
                <c:pt idx="77">
                  <c:v>91.408000000000001</c:v>
                </c:pt>
                <c:pt idx="78">
                  <c:v>100</c:v>
                </c:pt>
                <c:pt idx="79">
                  <c:v>80.843999999999994</c:v>
                </c:pt>
                <c:pt idx="80">
                  <c:v>91.408000000000001</c:v>
                </c:pt>
                <c:pt idx="81">
                  <c:v>80.843999999999994</c:v>
                </c:pt>
                <c:pt idx="82">
                  <c:v>86.125999999999948</c:v>
                </c:pt>
                <c:pt idx="83">
                  <c:v>80.843999999999994</c:v>
                </c:pt>
              </c:numCache>
            </c:numRef>
          </c:xVal>
          <c:yVal>
            <c:numRef>
              <c:f>data!$S$3:$S$86</c:f>
              <c:numCache>
                <c:formatCode>General</c:formatCode>
                <c:ptCount val="84"/>
                <c:pt idx="0">
                  <c:v>100</c:v>
                </c:pt>
                <c:pt idx="1">
                  <c:v>42.42</c:v>
                </c:pt>
                <c:pt idx="2">
                  <c:v>50.91</c:v>
                </c:pt>
                <c:pt idx="3">
                  <c:v>59.94</c:v>
                </c:pt>
                <c:pt idx="4">
                  <c:v>52.52</c:v>
                </c:pt>
                <c:pt idx="5">
                  <c:v>89.490000000000023</c:v>
                </c:pt>
                <c:pt idx="6">
                  <c:v>74.39</c:v>
                </c:pt>
                <c:pt idx="7">
                  <c:v>100</c:v>
                </c:pt>
                <c:pt idx="8">
                  <c:v>49.48</c:v>
                </c:pt>
                <c:pt idx="9">
                  <c:v>97.59</c:v>
                </c:pt>
                <c:pt idx="10">
                  <c:v>58.39</c:v>
                </c:pt>
                <c:pt idx="11">
                  <c:v>59.83</c:v>
                </c:pt>
                <c:pt idx="12">
                  <c:v>89.490000000000023</c:v>
                </c:pt>
                <c:pt idx="13">
                  <c:v>81.900000000000006</c:v>
                </c:pt>
                <c:pt idx="14">
                  <c:v>81.14</c:v>
                </c:pt>
                <c:pt idx="15">
                  <c:v>113</c:v>
                </c:pt>
                <c:pt idx="16">
                  <c:v>93.72</c:v>
                </c:pt>
                <c:pt idx="17">
                  <c:v>74</c:v>
                </c:pt>
                <c:pt idx="18">
                  <c:v>90</c:v>
                </c:pt>
                <c:pt idx="19">
                  <c:v>88.5</c:v>
                </c:pt>
                <c:pt idx="20">
                  <c:v>72.13</c:v>
                </c:pt>
                <c:pt idx="21">
                  <c:v>57.349999999999994</c:v>
                </c:pt>
                <c:pt idx="22">
                  <c:v>50.91</c:v>
                </c:pt>
                <c:pt idx="23">
                  <c:v>74.36</c:v>
                </c:pt>
                <c:pt idx="24">
                  <c:v>69.95</c:v>
                </c:pt>
                <c:pt idx="25">
                  <c:v>71.63</c:v>
                </c:pt>
                <c:pt idx="26">
                  <c:v>88.5</c:v>
                </c:pt>
                <c:pt idx="27">
                  <c:v>42.339999999999996</c:v>
                </c:pt>
                <c:pt idx="28">
                  <c:v>55.14</c:v>
                </c:pt>
                <c:pt idx="29">
                  <c:v>42.27</c:v>
                </c:pt>
                <c:pt idx="30">
                  <c:v>50.28</c:v>
                </c:pt>
                <c:pt idx="31">
                  <c:v>44.809999999999995</c:v>
                </c:pt>
                <c:pt idx="32">
                  <c:v>60.4</c:v>
                </c:pt>
                <c:pt idx="33">
                  <c:v>118</c:v>
                </c:pt>
                <c:pt idx="34">
                  <c:v>71.63</c:v>
                </c:pt>
                <c:pt idx="35">
                  <c:v>69.95</c:v>
                </c:pt>
                <c:pt idx="36">
                  <c:v>77.31</c:v>
                </c:pt>
                <c:pt idx="37">
                  <c:v>81.84</c:v>
                </c:pt>
                <c:pt idx="38">
                  <c:v>65.23</c:v>
                </c:pt>
                <c:pt idx="39">
                  <c:v>55.05</c:v>
                </c:pt>
                <c:pt idx="40">
                  <c:v>78.13</c:v>
                </c:pt>
                <c:pt idx="41">
                  <c:v>77.48</c:v>
                </c:pt>
                <c:pt idx="42">
                  <c:v>56</c:v>
                </c:pt>
                <c:pt idx="43">
                  <c:v>57.260000000000012</c:v>
                </c:pt>
                <c:pt idx="44">
                  <c:v>51.64</c:v>
                </c:pt>
                <c:pt idx="45">
                  <c:v>72.010000000000005</c:v>
                </c:pt>
                <c:pt idx="46">
                  <c:v>56.92</c:v>
                </c:pt>
                <c:pt idx="47">
                  <c:v>51.64</c:v>
                </c:pt>
                <c:pt idx="48">
                  <c:v>69.95</c:v>
                </c:pt>
                <c:pt idx="49">
                  <c:v>72.010000000000005</c:v>
                </c:pt>
                <c:pt idx="50">
                  <c:v>71.63</c:v>
                </c:pt>
                <c:pt idx="51">
                  <c:v>56.92</c:v>
                </c:pt>
                <c:pt idx="52">
                  <c:v>59.05</c:v>
                </c:pt>
                <c:pt idx="53">
                  <c:v>81.84</c:v>
                </c:pt>
                <c:pt idx="54">
                  <c:v>77.31</c:v>
                </c:pt>
                <c:pt idx="55">
                  <c:v>90.01</c:v>
                </c:pt>
                <c:pt idx="56">
                  <c:v>110.28</c:v>
                </c:pt>
                <c:pt idx="57">
                  <c:v>74.25</c:v>
                </c:pt>
                <c:pt idx="58">
                  <c:v>45.89</c:v>
                </c:pt>
                <c:pt idx="59">
                  <c:v>78.179999999999978</c:v>
                </c:pt>
                <c:pt idx="60">
                  <c:v>84.789999999999992</c:v>
                </c:pt>
                <c:pt idx="61">
                  <c:v>76.679999999999978</c:v>
                </c:pt>
                <c:pt idx="62">
                  <c:v>82.84</c:v>
                </c:pt>
                <c:pt idx="63">
                  <c:v>65.39</c:v>
                </c:pt>
                <c:pt idx="64">
                  <c:v>80.8</c:v>
                </c:pt>
                <c:pt idx="65">
                  <c:v>78.819999999999993</c:v>
                </c:pt>
                <c:pt idx="66">
                  <c:v>83</c:v>
                </c:pt>
                <c:pt idx="67">
                  <c:v>77.97</c:v>
                </c:pt>
                <c:pt idx="68">
                  <c:v>81.789999999999992</c:v>
                </c:pt>
                <c:pt idx="69">
                  <c:v>82.990000000000023</c:v>
                </c:pt>
                <c:pt idx="70">
                  <c:v>74.349999999999994</c:v>
                </c:pt>
                <c:pt idx="71">
                  <c:v>84</c:v>
                </c:pt>
                <c:pt idx="72">
                  <c:v>65.5</c:v>
                </c:pt>
                <c:pt idx="73">
                  <c:v>82.9</c:v>
                </c:pt>
                <c:pt idx="74">
                  <c:v>78.900000000000006</c:v>
                </c:pt>
                <c:pt idx="75">
                  <c:v>80.3</c:v>
                </c:pt>
                <c:pt idx="76">
                  <c:v>81.2</c:v>
                </c:pt>
                <c:pt idx="77">
                  <c:v>79.56</c:v>
                </c:pt>
                <c:pt idx="78">
                  <c:v>85.8</c:v>
                </c:pt>
                <c:pt idx="79">
                  <c:v>79.3</c:v>
                </c:pt>
                <c:pt idx="80">
                  <c:v>78.440000000000026</c:v>
                </c:pt>
                <c:pt idx="81">
                  <c:v>71.649999999999991</c:v>
                </c:pt>
                <c:pt idx="82">
                  <c:v>60.4</c:v>
                </c:pt>
                <c:pt idx="83">
                  <c:v>70.599999999999994</c:v>
                </c:pt>
              </c:numCache>
            </c:numRef>
          </c:yVal>
          <c:smooth val="0"/>
          <c:extLst>
            <c:ext xmlns:c16="http://schemas.microsoft.com/office/drawing/2014/chart" uri="{C3380CC4-5D6E-409C-BE32-E72D297353CC}">
              <c16:uniqueId val="{00000001-0306-44CB-BE86-A7252F772926}"/>
            </c:ext>
          </c:extLst>
        </c:ser>
        <c:dLbls>
          <c:showLegendKey val="0"/>
          <c:showVal val="0"/>
          <c:showCatName val="0"/>
          <c:showSerName val="0"/>
          <c:showPercent val="0"/>
          <c:showBubbleSize val="0"/>
        </c:dLbls>
        <c:axId val="76062720"/>
        <c:axId val="76064640"/>
      </c:scatterChart>
      <c:valAx>
        <c:axId val="76062720"/>
        <c:scaling>
          <c:orientation val="minMax"/>
        </c:scaling>
        <c:delete val="0"/>
        <c:axPos val="b"/>
        <c:title>
          <c:tx>
            <c:rich>
              <a:bodyPr/>
              <a:lstStyle/>
              <a:p>
                <a:pPr>
                  <a:defRPr sz="1400"/>
                </a:pPr>
                <a:r>
                  <a:rPr lang="en-US" sz="1400"/>
                  <a:t>GFR</a:t>
                </a:r>
                <a:r>
                  <a:rPr lang="en-US" sz="1400" baseline="0"/>
                  <a:t> values  before chemotgherapy </a:t>
                </a:r>
                <a:r>
                  <a:rPr lang="en-US" sz="1400" b="1" i="0" u="none" strike="noStrike" baseline="0"/>
                  <a:t>(ml/min)</a:t>
                </a:r>
                <a:endParaRPr lang="en-US" sz="1400"/>
              </a:p>
            </c:rich>
          </c:tx>
          <c:overlay val="0"/>
        </c:title>
        <c:numFmt formatCode="General" sourceLinked="1"/>
        <c:majorTickMark val="none"/>
        <c:minorTickMark val="none"/>
        <c:tickLblPos val="nextTo"/>
        <c:txPr>
          <a:bodyPr/>
          <a:lstStyle/>
          <a:p>
            <a:pPr>
              <a:defRPr sz="1400" b="1"/>
            </a:pPr>
            <a:endParaRPr lang="en-US"/>
          </a:p>
        </c:txPr>
        <c:crossAx val="76064640"/>
        <c:crosses val="autoZero"/>
        <c:crossBetween val="midCat"/>
      </c:valAx>
      <c:valAx>
        <c:axId val="76064640"/>
        <c:scaling>
          <c:orientation val="minMax"/>
        </c:scaling>
        <c:delete val="0"/>
        <c:axPos val="l"/>
        <c:majorGridlines/>
        <c:title>
          <c:tx>
            <c:rich>
              <a:bodyPr/>
              <a:lstStyle/>
              <a:p>
                <a:pPr>
                  <a:defRPr sz="1600"/>
                </a:pPr>
                <a:r>
                  <a:rPr lang="en-US" sz="1600"/>
                  <a:t>GFR values after</a:t>
                </a:r>
                <a:r>
                  <a:rPr lang="en-US" sz="1600" baseline="0"/>
                  <a:t> chemotherapy </a:t>
                </a:r>
                <a:r>
                  <a:rPr lang="en-US" sz="1600" b="1" i="0" u="none" strike="noStrike" baseline="0"/>
                  <a:t>(ml/min)</a:t>
                </a:r>
                <a:endParaRPr lang="en-US" sz="1600"/>
              </a:p>
            </c:rich>
          </c:tx>
          <c:overlay val="0"/>
        </c:title>
        <c:numFmt formatCode="General" sourceLinked="1"/>
        <c:majorTickMark val="none"/>
        <c:minorTickMark val="none"/>
        <c:tickLblPos val="nextTo"/>
        <c:txPr>
          <a:bodyPr/>
          <a:lstStyle/>
          <a:p>
            <a:pPr>
              <a:defRPr sz="1400" b="1"/>
            </a:pPr>
            <a:endParaRPr lang="en-US"/>
          </a:p>
        </c:txPr>
        <c:crossAx val="76062720"/>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9"/>
            <c:spPr>
              <a:solidFill>
                <a:sysClr val="windowText" lastClr="000000"/>
              </a:solidFill>
            </c:spPr>
          </c:marker>
          <c:trendline>
            <c:trendlineType val="linear"/>
            <c:dispRSqr val="1"/>
            <c:dispEq val="1"/>
            <c:trendlineLbl>
              <c:layout>
                <c:manualLayout>
                  <c:x val="-0.26852059357964869"/>
                  <c:y val="-0.13518074033849217"/>
                </c:manualLayout>
              </c:layout>
              <c:tx>
                <c:rich>
                  <a:bodyPr/>
                  <a:lstStyle/>
                  <a:p>
                    <a:pPr>
                      <a:defRPr sz="1800" b="1"/>
                    </a:pPr>
                    <a:r>
                      <a:rPr lang="en-US" baseline="0"/>
                      <a:t>y = 0.4985x + 28.684</a:t>
                    </a:r>
                    <a:endParaRPr lang="en-US"/>
                  </a:p>
                </c:rich>
              </c:tx>
              <c:numFmt formatCode="General" sourceLinked="0"/>
            </c:trendlineLbl>
          </c:trendline>
          <c:xVal>
            <c:numRef>
              <c:f>data!$K$3:$K$86</c:f>
              <c:numCache>
                <c:formatCode>General</c:formatCode>
                <c:ptCount val="84"/>
                <c:pt idx="0">
                  <c:v>120</c:v>
                </c:pt>
                <c:pt idx="1">
                  <c:v>70</c:v>
                </c:pt>
                <c:pt idx="2">
                  <c:v>110</c:v>
                </c:pt>
                <c:pt idx="3">
                  <c:v>100</c:v>
                </c:pt>
                <c:pt idx="4">
                  <c:v>103</c:v>
                </c:pt>
                <c:pt idx="5">
                  <c:v>125</c:v>
                </c:pt>
                <c:pt idx="6">
                  <c:v>95</c:v>
                </c:pt>
                <c:pt idx="7">
                  <c:v>91</c:v>
                </c:pt>
                <c:pt idx="8">
                  <c:v>85</c:v>
                </c:pt>
                <c:pt idx="9">
                  <c:v>94</c:v>
                </c:pt>
                <c:pt idx="10">
                  <c:v>120</c:v>
                </c:pt>
                <c:pt idx="11">
                  <c:v>82</c:v>
                </c:pt>
                <c:pt idx="12">
                  <c:v>70</c:v>
                </c:pt>
                <c:pt idx="13">
                  <c:v>98</c:v>
                </c:pt>
                <c:pt idx="14">
                  <c:v>121</c:v>
                </c:pt>
                <c:pt idx="15">
                  <c:v>115</c:v>
                </c:pt>
                <c:pt idx="16">
                  <c:v>99</c:v>
                </c:pt>
                <c:pt idx="17">
                  <c:v>85</c:v>
                </c:pt>
                <c:pt idx="18">
                  <c:v>87</c:v>
                </c:pt>
                <c:pt idx="19">
                  <c:v>90</c:v>
                </c:pt>
                <c:pt idx="20">
                  <c:v>89</c:v>
                </c:pt>
                <c:pt idx="21">
                  <c:v>75</c:v>
                </c:pt>
                <c:pt idx="22">
                  <c:v>75.5</c:v>
                </c:pt>
                <c:pt idx="23">
                  <c:v>106</c:v>
                </c:pt>
                <c:pt idx="24">
                  <c:v>84</c:v>
                </c:pt>
                <c:pt idx="25">
                  <c:v>81</c:v>
                </c:pt>
                <c:pt idx="26">
                  <c:v>120</c:v>
                </c:pt>
                <c:pt idx="27">
                  <c:v>90.8</c:v>
                </c:pt>
                <c:pt idx="28">
                  <c:v>125</c:v>
                </c:pt>
                <c:pt idx="29">
                  <c:v>121</c:v>
                </c:pt>
                <c:pt idx="30">
                  <c:v>119</c:v>
                </c:pt>
                <c:pt idx="31">
                  <c:v>87.5</c:v>
                </c:pt>
                <c:pt idx="32">
                  <c:v>127</c:v>
                </c:pt>
                <c:pt idx="33">
                  <c:v>116</c:v>
                </c:pt>
                <c:pt idx="34">
                  <c:v>109</c:v>
                </c:pt>
                <c:pt idx="35">
                  <c:v>110</c:v>
                </c:pt>
                <c:pt idx="36">
                  <c:v>108</c:v>
                </c:pt>
                <c:pt idx="37">
                  <c:v>78.099999999999994</c:v>
                </c:pt>
                <c:pt idx="38">
                  <c:v>100</c:v>
                </c:pt>
                <c:pt idx="39">
                  <c:v>112</c:v>
                </c:pt>
                <c:pt idx="40">
                  <c:v>101</c:v>
                </c:pt>
                <c:pt idx="41">
                  <c:v>79</c:v>
                </c:pt>
                <c:pt idx="42">
                  <c:v>106</c:v>
                </c:pt>
                <c:pt idx="43">
                  <c:v>110</c:v>
                </c:pt>
                <c:pt idx="44">
                  <c:v>69</c:v>
                </c:pt>
                <c:pt idx="45">
                  <c:v>84.6</c:v>
                </c:pt>
                <c:pt idx="46">
                  <c:v>91.7</c:v>
                </c:pt>
                <c:pt idx="47">
                  <c:v>95</c:v>
                </c:pt>
                <c:pt idx="48">
                  <c:v>124</c:v>
                </c:pt>
                <c:pt idx="49">
                  <c:v>84.4</c:v>
                </c:pt>
                <c:pt idx="50">
                  <c:v>87</c:v>
                </c:pt>
                <c:pt idx="51">
                  <c:v>111</c:v>
                </c:pt>
                <c:pt idx="52">
                  <c:v>80</c:v>
                </c:pt>
                <c:pt idx="53">
                  <c:v>73.75</c:v>
                </c:pt>
                <c:pt idx="54">
                  <c:v>87</c:v>
                </c:pt>
                <c:pt idx="55">
                  <c:v>87</c:v>
                </c:pt>
                <c:pt idx="56">
                  <c:v>105</c:v>
                </c:pt>
                <c:pt idx="57">
                  <c:v>110</c:v>
                </c:pt>
                <c:pt idx="58">
                  <c:v>107</c:v>
                </c:pt>
                <c:pt idx="59">
                  <c:v>117</c:v>
                </c:pt>
                <c:pt idx="60">
                  <c:v>107</c:v>
                </c:pt>
                <c:pt idx="61">
                  <c:v>95</c:v>
                </c:pt>
                <c:pt idx="62">
                  <c:v>103</c:v>
                </c:pt>
                <c:pt idx="63">
                  <c:v>105</c:v>
                </c:pt>
                <c:pt idx="64">
                  <c:v>99</c:v>
                </c:pt>
                <c:pt idx="65">
                  <c:v>112</c:v>
                </c:pt>
                <c:pt idx="66">
                  <c:v>106</c:v>
                </c:pt>
                <c:pt idx="67">
                  <c:v>89</c:v>
                </c:pt>
                <c:pt idx="68">
                  <c:v>110</c:v>
                </c:pt>
                <c:pt idx="69">
                  <c:v>110</c:v>
                </c:pt>
                <c:pt idx="70">
                  <c:v>99</c:v>
                </c:pt>
                <c:pt idx="71">
                  <c:v>99</c:v>
                </c:pt>
                <c:pt idx="72">
                  <c:v>118</c:v>
                </c:pt>
                <c:pt idx="73">
                  <c:v>92</c:v>
                </c:pt>
                <c:pt idx="74">
                  <c:v>99</c:v>
                </c:pt>
                <c:pt idx="75">
                  <c:v>100</c:v>
                </c:pt>
                <c:pt idx="76">
                  <c:v>124</c:v>
                </c:pt>
                <c:pt idx="77">
                  <c:v>130</c:v>
                </c:pt>
                <c:pt idx="78">
                  <c:v>80</c:v>
                </c:pt>
                <c:pt idx="79">
                  <c:v>84</c:v>
                </c:pt>
                <c:pt idx="80">
                  <c:v>98</c:v>
                </c:pt>
                <c:pt idx="81">
                  <c:v>85</c:v>
                </c:pt>
                <c:pt idx="82">
                  <c:v>94</c:v>
                </c:pt>
                <c:pt idx="83">
                  <c:v>100</c:v>
                </c:pt>
              </c:numCache>
            </c:numRef>
          </c:xVal>
          <c:yVal>
            <c:numRef>
              <c:f>data!$M$3:$M$86</c:f>
              <c:numCache>
                <c:formatCode>General</c:formatCode>
                <c:ptCount val="84"/>
                <c:pt idx="0">
                  <c:v>103</c:v>
                </c:pt>
                <c:pt idx="1">
                  <c:v>63.1</c:v>
                </c:pt>
                <c:pt idx="2">
                  <c:v>61</c:v>
                </c:pt>
                <c:pt idx="3">
                  <c:v>81</c:v>
                </c:pt>
                <c:pt idx="4">
                  <c:v>89.9</c:v>
                </c:pt>
                <c:pt idx="5">
                  <c:v>87.5</c:v>
                </c:pt>
                <c:pt idx="6">
                  <c:v>62</c:v>
                </c:pt>
                <c:pt idx="7">
                  <c:v>81</c:v>
                </c:pt>
                <c:pt idx="8">
                  <c:v>83</c:v>
                </c:pt>
                <c:pt idx="9">
                  <c:v>75</c:v>
                </c:pt>
                <c:pt idx="10">
                  <c:v>112</c:v>
                </c:pt>
                <c:pt idx="11">
                  <c:v>78.7</c:v>
                </c:pt>
                <c:pt idx="12">
                  <c:v>64</c:v>
                </c:pt>
                <c:pt idx="13">
                  <c:v>79</c:v>
                </c:pt>
                <c:pt idx="14">
                  <c:v>70</c:v>
                </c:pt>
                <c:pt idx="15">
                  <c:v>101</c:v>
                </c:pt>
                <c:pt idx="16">
                  <c:v>84</c:v>
                </c:pt>
                <c:pt idx="17">
                  <c:v>67</c:v>
                </c:pt>
                <c:pt idx="18">
                  <c:v>62</c:v>
                </c:pt>
                <c:pt idx="19">
                  <c:v>65</c:v>
                </c:pt>
                <c:pt idx="20">
                  <c:v>65</c:v>
                </c:pt>
                <c:pt idx="21">
                  <c:v>55</c:v>
                </c:pt>
                <c:pt idx="22">
                  <c:v>61</c:v>
                </c:pt>
                <c:pt idx="23">
                  <c:v>91</c:v>
                </c:pt>
                <c:pt idx="24">
                  <c:v>61</c:v>
                </c:pt>
                <c:pt idx="25">
                  <c:v>63</c:v>
                </c:pt>
                <c:pt idx="26">
                  <c:v>101</c:v>
                </c:pt>
                <c:pt idx="27">
                  <c:v>77.7</c:v>
                </c:pt>
                <c:pt idx="28">
                  <c:v>83.8</c:v>
                </c:pt>
                <c:pt idx="29">
                  <c:v>76.7</c:v>
                </c:pt>
                <c:pt idx="30">
                  <c:v>95.3</c:v>
                </c:pt>
                <c:pt idx="31">
                  <c:v>65.599999999999994</c:v>
                </c:pt>
                <c:pt idx="32">
                  <c:v>100</c:v>
                </c:pt>
                <c:pt idx="33">
                  <c:v>102</c:v>
                </c:pt>
                <c:pt idx="34">
                  <c:v>105</c:v>
                </c:pt>
                <c:pt idx="35">
                  <c:v>70.099999999999994</c:v>
                </c:pt>
                <c:pt idx="36">
                  <c:v>96.2</c:v>
                </c:pt>
                <c:pt idx="37">
                  <c:v>69.400000000000006</c:v>
                </c:pt>
                <c:pt idx="38">
                  <c:v>79</c:v>
                </c:pt>
                <c:pt idx="39">
                  <c:v>93.6</c:v>
                </c:pt>
                <c:pt idx="40">
                  <c:v>87</c:v>
                </c:pt>
                <c:pt idx="41">
                  <c:v>59</c:v>
                </c:pt>
                <c:pt idx="42">
                  <c:v>53.3</c:v>
                </c:pt>
                <c:pt idx="43">
                  <c:v>86.2</c:v>
                </c:pt>
                <c:pt idx="44" formatCode="0.0">
                  <c:v>69</c:v>
                </c:pt>
                <c:pt idx="45" formatCode="0.0">
                  <c:v>59.2</c:v>
                </c:pt>
                <c:pt idx="46" formatCode="0.0">
                  <c:v>81.5</c:v>
                </c:pt>
                <c:pt idx="47" formatCode="0.0">
                  <c:v>51.944444444443739</c:v>
                </c:pt>
                <c:pt idx="48" formatCode="0.0">
                  <c:v>90.444444444444727</c:v>
                </c:pt>
                <c:pt idx="49" formatCode="0.0">
                  <c:v>69.2</c:v>
                </c:pt>
                <c:pt idx="50" formatCode="0.0">
                  <c:v>67.222222222222214</c:v>
                </c:pt>
                <c:pt idx="51" formatCode="0.0">
                  <c:v>58.666666666665975</c:v>
                </c:pt>
                <c:pt idx="52" formatCode="0.0">
                  <c:v>59</c:v>
                </c:pt>
                <c:pt idx="53" formatCode="0.0">
                  <c:v>73.75</c:v>
                </c:pt>
                <c:pt idx="54" formatCode="0.0">
                  <c:v>87.772222222222211</c:v>
                </c:pt>
                <c:pt idx="55" formatCode="0.0">
                  <c:v>70.874999999999986</c:v>
                </c:pt>
                <c:pt idx="56" formatCode="0.0">
                  <c:v>95</c:v>
                </c:pt>
                <c:pt idx="57" formatCode="0.0">
                  <c:v>101.81111111111112</c:v>
                </c:pt>
                <c:pt idx="58" formatCode="0.0">
                  <c:v>68.444444444444727</c:v>
                </c:pt>
                <c:pt idx="59" formatCode="0.0">
                  <c:v>65</c:v>
                </c:pt>
                <c:pt idx="60" formatCode="0.0">
                  <c:v>86.6875</c:v>
                </c:pt>
                <c:pt idx="61" formatCode="0.0">
                  <c:v>72.222222222222214</c:v>
                </c:pt>
                <c:pt idx="62" formatCode="0.0">
                  <c:v>62.7</c:v>
                </c:pt>
                <c:pt idx="63" formatCode="0.0">
                  <c:v>62.144444444443884</c:v>
                </c:pt>
                <c:pt idx="64" formatCode="0.0">
                  <c:v>86.25</c:v>
                </c:pt>
                <c:pt idx="65" formatCode="0.0">
                  <c:v>68.75</c:v>
                </c:pt>
                <c:pt idx="66" formatCode="0.0">
                  <c:v>125.37499999999999</c:v>
                </c:pt>
                <c:pt idx="67" formatCode="0.0">
                  <c:v>83.66249999999998</c:v>
                </c:pt>
                <c:pt idx="68" formatCode="0.0">
                  <c:v>78.466666666666697</c:v>
                </c:pt>
                <c:pt idx="69" formatCode="0.0">
                  <c:v>76.037500000000023</c:v>
                </c:pt>
                <c:pt idx="70" formatCode="0.0">
                  <c:v>61</c:v>
                </c:pt>
                <c:pt idx="71" formatCode="0.0">
                  <c:v>66</c:v>
                </c:pt>
                <c:pt idx="72" formatCode="0.0">
                  <c:v>72.066666666666663</c:v>
                </c:pt>
                <c:pt idx="73" formatCode="0.0">
                  <c:v>85</c:v>
                </c:pt>
                <c:pt idx="74" formatCode="0.0">
                  <c:v>83</c:v>
                </c:pt>
                <c:pt idx="75" formatCode="0.0">
                  <c:v>91</c:v>
                </c:pt>
                <c:pt idx="76" formatCode="0.0">
                  <c:v>95</c:v>
                </c:pt>
                <c:pt idx="77" formatCode="0.0">
                  <c:v>86</c:v>
                </c:pt>
                <c:pt idx="78" formatCode="0.0">
                  <c:v>78</c:v>
                </c:pt>
                <c:pt idx="79" formatCode="0.0">
                  <c:v>84</c:v>
                </c:pt>
                <c:pt idx="80" formatCode="0.0">
                  <c:v>83</c:v>
                </c:pt>
                <c:pt idx="81" formatCode="0.0">
                  <c:v>77</c:v>
                </c:pt>
                <c:pt idx="82" formatCode="0.0">
                  <c:v>80</c:v>
                </c:pt>
                <c:pt idx="83" formatCode="0.0">
                  <c:v>89</c:v>
                </c:pt>
              </c:numCache>
            </c:numRef>
          </c:yVal>
          <c:smooth val="0"/>
          <c:extLst>
            <c:ext xmlns:c16="http://schemas.microsoft.com/office/drawing/2014/chart" uri="{C3380CC4-5D6E-409C-BE32-E72D297353CC}">
              <c16:uniqueId val="{00000001-5CE7-4B53-B602-A2DF57EB8699}"/>
            </c:ext>
          </c:extLst>
        </c:ser>
        <c:dLbls>
          <c:showLegendKey val="0"/>
          <c:showVal val="0"/>
          <c:showCatName val="0"/>
          <c:showSerName val="0"/>
          <c:showPercent val="0"/>
          <c:showBubbleSize val="0"/>
        </c:dLbls>
        <c:axId val="77327744"/>
        <c:axId val="77469184"/>
      </c:scatterChart>
      <c:valAx>
        <c:axId val="77327744"/>
        <c:scaling>
          <c:orientation val="minMax"/>
          <c:min val="60"/>
        </c:scaling>
        <c:delete val="0"/>
        <c:axPos val="b"/>
        <c:title>
          <c:tx>
            <c:rich>
              <a:bodyPr/>
              <a:lstStyle/>
              <a:p>
                <a:pPr>
                  <a:defRPr/>
                </a:pPr>
                <a:r>
                  <a:rPr lang="en-US" sz="1600"/>
                  <a:t>creatinine clearance  befor  chemotherapy</a:t>
                </a:r>
                <a:r>
                  <a:rPr lang="en-US" sz="1000" b="1" i="0" u="none" strike="noStrike" baseline="0"/>
                  <a:t>(ml/min)</a:t>
                </a:r>
                <a:endParaRPr lang="en-US" sz="1600"/>
              </a:p>
            </c:rich>
          </c:tx>
          <c:overlay val="0"/>
        </c:title>
        <c:numFmt formatCode="General" sourceLinked="1"/>
        <c:majorTickMark val="none"/>
        <c:minorTickMark val="none"/>
        <c:tickLblPos val="nextTo"/>
        <c:crossAx val="77469184"/>
        <c:crosses val="autoZero"/>
        <c:crossBetween val="midCat"/>
      </c:valAx>
      <c:valAx>
        <c:axId val="77469184"/>
        <c:scaling>
          <c:orientation val="minMax"/>
        </c:scaling>
        <c:delete val="0"/>
        <c:axPos val="l"/>
        <c:majorGridlines/>
        <c:title>
          <c:tx>
            <c:rich>
              <a:bodyPr/>
              <a:lstStyle/>
              <a:p>
                <a:pPr>
                  <a:defRPr/>
                </a:pPr>
                <a:r>
                  <a:rPr lang="en-US" sz="1600"/>
                  <a:t>creatinine</a:t>
                </a:r>
                <a:r>
                  <a:rPr lang="en-US" sz="1600" baseline="0"/>
                  <a:t> clearance after chemotherapy</a:t>
                </a:r>
                <a:r>
                  <a:rPr lang="en-US" sz="1000" b="1" i="0" u="none" strike="noStrike" baseline="0"/>
                  <a:t>(ml/min)</a:t>
                </a:r>
                <a:endParaRPr lang="en-US" sz="1600"/>
              </a:p>
            </c:rich>
          </c:tx>
          <c:layout>
            <c:manualLayout>
              <c:xMode val="edge"/>
              <c:yMode val="edge"/>
              <c:x val="2.3504273504273844E-2"/>
              <c:y val="0.15733643490238544"/>
            </c:manualLayout>
          </c:layout>
          <c:overlay val="0"/>
        </c:title>
        <c:numFmt formatCode="General" sourceLinked="1"/>
        <c:majorTickMark val="none"/>
        <c:minorTickMark val="none"/>
        <c:tickLblPos val="nextTo"/>
        <c:crossAx val="77327744"/>
        <c:crosses val="autoZero"/>
        <c:crossBetween val="midCat"/>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7"/>
            <c:spPr>
              <a:solidFill>
                <a:schemeClr val="tx1"/>
              </a:solidFill>
            </c:spPr>
          </c:marker>
          <c:trendline>
            <c:trendlineType val="linear"/>
            <c:dispRSqr val="1"/>
            <c:dispEq val="1"/>
            <c:trendlineLbl>
              <c:layout>
                <c:manualLayout>
                  <c:x val="-0.3949003632315673"/>
                  <c:y val="-0.29193827252995153"/>
                </c:manualLayout>
              </c:layout>
              <c:tx>
                <c:rich>
                  <a:bodyPr/>
                  <a:lstStyle/>
                  <a:p>
                    <a:pPr>
                      <a:defRPr sz="1400" b="1"/>
                    </a:pPr>
                    <a:r>
                      <a:rPr lang="en-US" baseline="0"/>
                      <a:t>y = -0.2436x + 83.299
</a:t>
                    </a:r>
                    <a:endParaRPr lang="en-US"/>
                  </a:p>
                </c:rich>
              </c:tx>
              <c:numFmt formatCode="General" sourceLinked="0"/>
            </c:trendlineLbl>
          </c:trendline>
          <c:xVal>
            <c:numRef>
              <c:f>data!$A$3:$A$87</c:f>
              <c:numCache>
                <c:formatCode>General</c:formatCode>
                <c:ptCount val="85"/>
                <c:pt idx="0">
                  <c:v>55</c:v>
                </c:pt>
                <c:pt idx="1">
                  <c:v>70</c:v>
                </c:pt>
                <c:pt idx="2">
                  <c:v>56</c:v>
                </c:pt>
                <c:pt idx="3">
                  <c:v>47</c:v>
                </c:pt>
                <c:pt idx="4">
                  <c:v>55</c:v>
                </c:pt>
                <c:pt idx="5">
                  <c:v>53</c:v>
                </c:pt>
                <c:pt idx="6">
                  <c:v>30</c:v>
                </c:pt>
                <c:pt idx="7">
                  <c:v>38</c:v>
                </c:pt>
                <c:pt idx="8">
                  <c:v>45</c:v>
                </c:pt>
                <c:pt idx="9">
                  <c:v>30</c:v>
                </c:pt>
                <c:pt idx="10">
                  <c:v>32</c:v>
                </c:pt>
                <c:pt idx="11">
                  <c:v>46</c:v>
                </c:pt>
                <c:pt idx="12">
                  <c:v>53</c:v>
                </c:pt>
                <c:pt idx="13">
                  <c:v>55</c:v>
                </c:pt>
                <c:pt idx="14">
                  <c:v>53</c:v>
                </c:pt>
                <c:pt idx="15">
                  <c:v>49</c:v>
                </c:pt>
                <c:pt idx="16">
                  <c:v>51</c:v>
                </c:pt>
                <c:pt idx="17">
                  <c:v>43</c:v>
                </c:pt>
                <c:pt idx="18">
                  <c:v>60</c:v>
                </c:pt>
                <c:pt idx="19">
                  <c:v>59</c:v>
                </c:pt>
                <c:pt idx="20">
                  <c:v>40</c:v>
                </c:pt>
                <c:pt idx="21">
                  <c:v>65</c:v>
                </c:pt>
                <c:pt idx="22">
                  <c:v>65</c:v>
                </c:pt>
                <c:pt idx="23">
                  <c:v>40</c:v>
                </c:pt>
                <c:pt idx="24">
                  <c:v>65</c:v>
                </c:pt>
                <c:pt idx="25">
                  <c:v>33</c:v>
                </c:pt>
                <c:pt idx="26">
                  <c:v>26</c:v>
                </c:pt>
                <c:pt idx="27">
                  <c:v>65</c:v>
                </c:pt>
                <c:pt idx="28">
                  <c:v>22</c:v>
                </c:pt>
                <c:pt idx="29">
                  <c:v>63</c:v>
                </c:pt>
                <c:pt idx="30">
                  <c:v>45</c:v>
                </c:pt>
                <c:pt idx="31">
                  <c:v>31</c:v>
                </c:pt>
                <c:pt idx="32">
                  <c:v>33</c:v>
                </c:pt>
                <c:pt idx="33">
                  <c:v>55</c:v>
                </c:pt>
                <c:pt idx="34">
                  <c:v>30</c:v>
                </c:pt>
                <c:pt idx="35">
                  <c:v>65</c:v>
                </c:pt>
                <c:pt idx="36">
                  <c:v>18</c:v>
                </c:pt>
                <c:pt idx="37">
                  <c:v>40</c:v>
                </c:pt>
                <c:pt idx="38">
                  <c:v>44</c:v>
                </c:pt>
                <c:pt idx="39">
                  <c:v>35</c:v>
                </c:pt>
                <c:pt idx="40">
                  <c:v>43</c:v>
                </c:pt>
                <c:pt idx="41">
                  <c:v>60</c:v>
                </c:pt>
                <c:pt idx="42">
                  <c:v>45</c:v>
                </c:pt>
                <c:pt idx="43">
                  <c:v>57</c:v>
                </c:pt>
                <c:pt idx="44">
                  <c:v>55</c:v>
                </c:pt>
                <c:pt idx="45">
                  <c:v>54</c:v>
                </c:pt>
                <c:pt idx="46">
                  <c:v>52</c:v>
                </c:pt>
                <c:pt idx="47">
                  <c:v>55</c:v>
                </c:pt>
                <c:pt idx="48">
                  <c:v>60</c:v>
                </c:pt>
                <c:pt idx="49">
                  <c:v>55</c:v>
                </c:pt>
                <c:pt idx="50">
                  <c:v>30</c:v>
                </c:pt>
                <c:pt idx="51">
                  <c:v>52</c:v>
                </c:pt>
                <c:pt idx="52">
                  <c:v>38</c:v>
                </c:pt>
                <c:pt idx="53">
                  <c:v>40</c:v>
                </c:pt>
                <c:pt idx="54">
                  <c:v>18</c:v>
                </c:pt>
                <c:pt idx="55">
                  <c:v>35</c:v>
                </c:pt>
                <c:pt idx="56">
                  <c:v>46</c:v>
                </c:pt>
                <c:pt idx="57">
                  <c:v>21</c:v>
                </c:pt>
                <c:pt idx="58">
                  <c:v>52</c:v>
                </c:pt>
                <c:pt idx="59">
                  <c:v>28</c:v>
                </c:pt>
                <c:pt idx="60">
                  <c:v>45</c:v>
                </c:pt>
                <c:pt idx="61">
                  <c:v>40</c:v>
                </c:pt>
                <c:pt idx="62">
                  <c:v>52</c:v>
                </c:pt>
                <c:pt idx="63">
                  <c:v>46</c:v>
                </c:pt>
                <c:pt idx="64">
                  <c:v>25</c:v>
                </c:pt>
                <c:pt idx="65">
                  <c:v>30</c:v>
                </c:pt>
                <c:pt idx="66">
                  <c:v>22</c:v>
                </c:pt>
                <c:pt idx="67">
                  <c:v>43</c:v>
                </c:pt>
                <c:pt idx="68">
                  <c:v>33</c:v>
                </c:pt>
                <c:pt idx="69">
                  <c:v>61</c:v>
                </c:pt>
                <c:pt idx="70">
                  <c:v>40</c:v>
                </c:pt>
                <c:pt idx="71">
                  <c:v>55</c:v>
                </c:pt>
                <c:pt idx="72">
                  <c:v>46</c:v>
                </c:pt>
                <c:pt idx="73">
                  <c:v>32</c:v>
                </c:pt>
                <c:pt idx="74">
                  <c:v>45</c:v>
                </c:pt>
                <c:pt idx="75">
                  <c:v>52</c:v>
                </c:pt>
                <c:pt idx="76">
                  <c:v>60</c:v>
                </c:pt>
                <c:pt idx="77">
                  <c:v>24</c:v>
                </c:pt>
                <c:pt idx="78">
                  <c:v>47</c:v>
                </c:pt>
                <c:pt idx="79">
                  <c:v>31</c:v>
                </c:pt>
                <c:pt idx="80">
                  <c:v>39</c:v>
                </c:pt>
                <c:pt idx="81">
                  <c:v>65</c:v>
                </c:pt>
                <c:pt idx="82">
                  <c:v>42</c:v>
                </c:pt>
                <c:pt idx="83">
                  <c:v>34</c:v>
                </c:pt>
                <c:pt idx="84">
                  <c:v>42</c:v>
                </c:pt>
              </c:numCache>
            </c:numRef>
          </c:xVal>
          <c:yVal>
            <c:numRef>
              <c:f>data!$T$3:$T$87</c:f>
              <c:numCache>
                <c:formatCode>General</c:formatCode>
                <c:ptCount val="85"/>
                <c:pt idx="0">
                  <c:v>100</c:v>
                </c:pt>
                <c:pt idx="1">
                  <c:v>42.42</c:v>
                </c:pt>
                <c:pt idx="2">
                  <c:v>50.91</c:v>
                </c:pt>
                <c:pt idx="3">
                  <c:v>59.94</c:v>
                </c:pt>
                <c:pt idx="4">
                  <c:v>52.52</c:v>
                </c:pt>
                <c:pt idx="5">
                  <c:v>89.490000000000023</c:v>
                </c:pt>
                <c:pt idx="6">
                  <c:v>74.39</c:v>
                </c:pt>
                <c:pt idx="7">
                  <c:v>100</c:v>
                </c:pt>
                <c:pt idx="8">
                  <c:v>49.48</c:v>
                </c:pt>
                <c:pt idx="9">
                  <c:v>97.59</c:v>
                </c:pt>
                <c:pt idx="10">
                  <c:v>58.39</c:v>
                </c:pt>
                <c:pt idx="11">
                  <c:v>59.83</c:v>
                </c:pt>
                <c:pt idx="12">
                  <c:v>89.490000000000023</c:v>
                </c:pt>
                <c:pt idx="13">
                  <c:v>81.900000000000006</c:v>
                </c:pt>
                <c:pt idx="14">
                  <c:v>81.14</c:v>
                </c:pt>
                <c:pt idx="15">
                  <c:v>113</c:v>
                </c:pt>
                <c:pt idx="16">
                  <c:v>93.72</c:v>
                </c:pt>
                <c:pt idx="17">
                  <c:v>74</c:v>
                </c:pt>
                <c:pt idx="18">
                  <c:v>90</c:v>
                </c:pt>
                <c:pt idx="19">
                  <c:v>88.5</c:v>
                </c:pt>
                <c:pt idx="20">
                  <c:v>72.13</c:v>
                </c:pt>
                <c:pt idx="21">
                  <c:v>57.35</c:v>
                </c:pt>
                <c:pt idx="22">
                  <c:v>50.91</c:v>
                </c:pt>
                <c:pt idx="23">
                  <c:v>74.36</c:v>
                </c:pt>
                <c:pt idx="24">
                  <c:v>69.95</c:v>
                </c:pt>
                <c:pt idx="25">
                  <c:v>71.63</c:v>
                </c:pt>
                <c:pt idx="26">
                  <c:v>88.5</c:v>
                </c:pt>
                <c:pt idx="27">
                  <c:v>42.34</c:v>
                </c:pt>
                <c:pt idx="28">
                  <c:v>55.14</c:v>
                </c:pt>
                <c:pt idx="29">
                  <c:v>42.27</c:v>
                </c:pt>
                <c:pt idx="30">
                  <c:v>50.28</c:v>
                </c:pt>
                <c:pt idx="31">
                  <c:v>44.81</c:v>
                </c:pt>
                <c:pt idx="32">
                  <c:v>60.4</c:v>
                </c:pt>
                <c:pt idx="33">
                  <c:v>118</c:v>
                </c:pt>
                <c:pt idx="34">
                  <c:v>71.63</c:v>
                </c:pt>
                <c:pt idx="35">
                  <c:v>69.95</c:v>
                </c:pt>
                <c:pt idx="36">
                  <c:v>77.31</c:v>
                </c:pt>
                <c:pt idx="37">
                  <c:v>81.84</c:v>
                </c:pt>
                <c:pt idx="38">
                  <c:v>65.23</c:v>
                </c:pt>
                <c:pt idx="39">
                  <c:v>55.05</c:v>
                </c:pt>
                <c:pt idx="40">
                  <c:v>78.13</c:v>
                </c:pt>
                <c:pt idx="41">
                  <c:v>77.48</c:v>
                </c:pt>
                <c:pt idx="42">
                  <c:v>56</c:v>
                </c:pt>
                <c:pt idx="43">
                  <c:v>0</c:v>
                </c:pt>
                <c:pt idx="44">
                  <c:v>51.64</c:v>
                </c:pt>
                <c:pt idx="45">
                  <c:v>72.010000000000005</c:v>
                </c:pt>
                <c:pt idx="46">
                  <c:v>56.92</c:v>
                </c:pt>
                <c:pt idx="47">
                  <c:v>51.64</c:v>
                </c:pt>
                <c:pt idx="48">
                  <c:v>69.95</c:v>
                </c:pt>
                <c:pt idx="49">
                  <c:v>72.010000000000005</c:v>
                </c:pt>
                <c:pt idx="50">
                  <c:v>71.63</c:v>
                </c:pt>
                <c:pt idx="51">
                  <c:v>56.92</c:v>
                </c:pt>
                <c:pt idx="52">
                  <c:v>59.05</c:v>
                </c:pt>
                <c:pt idx="53">
                  <c:v>81.84</c:v>
                </c:pt>
                <c:pt idx="54">
                  <c:v>77.31</c:v>
                </c:pt>
                <c:pt idx="55">
                  <c:v>90.01</c:v>
                </c:pt>
                <c:pt idx="56">
                  <c:v>110.28</c:v>
                </c:pt>
                <c:pt idx="57">
                  <c:v>74.25</c:v>
                </c:pt>
                <c:pt idx="58">
                  <c:v>45.89</c:v>
                </c:pt>
                <c:pt idx="59">
                  <c:v>78.179999999999978</c:v>
                </c:pt>
                <c:pt idx="60">
                  <c:v>84.789999999999992</c:v>
                </c:pt>
                <c:pt idx="61">
                  <c:v>76.679999999999978</c:v>
                </c:pt>
                <c:pt idx="62">
                  <c:v>82.84</c:v>
                </c:pt>
                <c:pt idx="63">
                  <c:v>65.39</c:v>
                </c:pt>
                <c:pt idx="64">
                  <c:v>80.8</c:v>
                </c:pt>
                <c:pt idx="65">
                  <c:v>78.819999999999993</c:v>
                </c:pt>
                <c:pt idx="66">
                  <c:v>83</c:v>
                </c:pt>
                <c:pt idx="67">
                  <c:v>77.97</c:v>
                </c:pt>
                <c:pt idx="68">
                  <c:v>81.789999999999992</c:v>
                </c:pt>
                <c:pt idx="69">
                  <c:v>82.990000000000023</c:v>
                </c:pt>
                <c:pt idx="70">
                  <c:v>74.349999999999994</c:v>
                </c:pt>
                <c:pt idx="71">
                  <c:v>84</c:v>
                </c:pt>
                <c:pt idx="72">
                  <c:v>65.5</c:v>
                </c:pt>
                <c:pt idx="73">
                  <c:v>82.9</c:v>
                </c:pt>
                <c:pt idx="74">
                  <c:v>78.900000000000006</c:v>
                </c:pt>
                <c:pt idx="75">
                  <c:v>80.3</c:v>
                </c:pt>
                <c:pt idx="76">
                  <c:v>81.2</c:v>
                </c:pt>
                <c:pt idx="77">
                  <c:v>79.56</c:v>
                </c:pt>
                <c:pt idx="78">
                  <c:v>85.8</c:v>
                </c:pt>
                <c:pt idx="79">
                  <c:v>79.3</c:v>
                </c:pt>
                <c:pt idx="80">
                  <c:v>88</c:v>
                </c:pt>
                <c:pt idx="81">
                  <c:v>78.440000000000026</c:v>
                </c:pt>
                <c:pt idx="82">
                  <c:v>71.649999999999991</c:v>
                </c:pt>
                <c:pt idx="83">
                  <c:v>60.4</c:v>
                </c:pt>
                <c:pt idx="84">
                  <c:v>70.599999999999994</c:v>
                </c:pt>
              </c:numCache>
            </c:numRef>
          </c:yVal>
          <c:smooth val="0"/>
          <c:extLst>
            <c:ext xmlns:c16="http://schemas.microsoft.com/office/drawing/2014/chart" uri="{C3380CC4-5D6E-409C-BE32-E72D297353CC}">
              <c16:uniqueId val="{00000001-75F1-44A4-AE36-88A05A66EDEA}"/>
            </c:ext>
          </c:extLst>
        </c:ser>
        <c:dLbls>
          <c:showLegendKey val="0"/>
          <c:showVal val="0"/>
          <c:showCatName val="0"/>
          <c:showSerName val="0"/>
          <c:showPercent val="0"/>
          <c:showBubbleSize val="0"/>
        </c:dLbls>
        <c:axId val="78154752"/>
        <c:axId val="78390400"/>
      </c:scatterChart>
      <c:valAx>
        <c:axId val="78154752"/>
        <c:scaling>
          <c:orientation val="minMax"/>
        </c:scaling>
        <c:delete val="0"/>
        <c:axPos val="b"/>
        <c:title>
          <c:tx>
            <c:rich>
              <a:bodyPr/>
              <a:lstStyle/>
              <a:p>
                <a:pPr>
                  <a:defRPr sz="1600"/>
                </a:pPr>
                <a:r>
                  <a:rPr lang="en-US" sz="1600"/>
                  <a:t>Patients Age (years)</a:t>
                </a:r>
              </a:p>
            </c:rich>
          </c:tx>
          <c:overlay val="0"/>
        </c:title>
        <c:numFmt formatCode="General" sourceLinked="1"/>
        <c:majorTickMark val="none"/>
        <c:minorTickMark val="none"/>
        <c:tickLblPos val="nextTo"/>
        <c:txPr>
          <a:bodyPr/>
          <a:lstStyle/>
          <a:p>
            <a:pPr>
              <a:defRPr sz="1200" b="1"/>
            </a:pPr>
            <a:endParaRPr lang="en-US"/>
          </a:p>
        </c:txPr>
        <c:crossAx val="78390400"/>
        <c:crosses val="autoZero"/>
        <c:crossBetween val="midCat"/>
      </c:valAx>
      <c:valAx>
        <c:axId val="78390400"/>
        <c:scaling>
          <c:orientation val="minMax"/>
        </c:scaling>
        <c:delete val="0"/>
        <c:axPos val="l"/>
        <c:majorGridlines/>
        <c:title>
          <c:tx>
            <c:rich>
              <a:bodyPr/>
              <a:lstStyle/>
              <a:p>
                <a:pPr>
                  <a:defRPr sz="1400" b="1"/>
                </a:pPr>
                <a:r>
                  <a:rPr lang="en-US" sz="1400" b="1"/>
                  <a:t>Total GFR after</a:t>
                </a:r>
                <a:r>
                  <a:rPr lang="en-US" sz="1400" b="1" baseline="0"/>
                  <a:t> chemotherapy </a:t>
                </a:r>
                <a:r>
                  <a:rPr lang="en-US" sz="1400" b="1" i="0" u="none" strike="noStrike" baseline="0"/>
                  <a:t>(ml/min)</a:t>
                </a:r>
                <a:endParaRPr lang="en-US" sz="1400" b="1"/>
              </a:p>
            </c:rich>
          </c:tx>
          <c:overlay val="0"/>
        </c:title>
        <c:numFmt formatCode="General" sourceLinked="1"/>
        <c:majorTickMark val="none"/>
        <c:minorTickMark val="none"/>
        <c:tickLblPos val="nextTo"/>
        <c:txPr>
          <a:bodyPr/>
          <a:lstStyle/>
          <a:p>
            <a:pPr>
              <a:defRPr sz="1200" b="1"/>
            </a:pPr>
            <a:endParaRPr lang="en-US"/>
          </a:p>
        </c:txPr>
        <c:crossAx val="78154752"/>
        <c:crosses val="autoZero"/>
        <c:crossBetween val="midCat"/>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942997509926644"/>
          <c:y val="3.9890916300754801E-2"/>
          <c:w val="0.76190557911030365"/>
          <c:h val="0.76229354043158826"/>
        </c:manualLayout>
      </c:layout>
      <c:scatterChart>
        <c:scatterStyle val="lineMarker"/>
        <c:varyColors val="0"/>
        <c:ser>
          <c:idx val="0"/>
          <c:order val="0"/>
          <c:spPr>
            <a:ln w="28575">
              <a:noFill/>
            </a:ln>
          </c:spPr>
          <c:marker>
            <c:symbol val="circle"/>
            <c:size val="9"/>
            <c:spPr>
              <a:solidFill>
                <a:sysClr val="windowText" lastClr="000000"/>
              </a:solidFill>
            </c:spPr>
          </c:marker>
          <c:trendline>
            <c:trendlineType val="linear"/>
            <c:dispRSqr val="1"/>
            <c:dispEq val="1"/>
            <c:trendlineLbl>
              <c:layout>
                <c:manualLayout>
                  <c:x val="-0.30225116091257825"/>
                  <c:y val="0.38584457219664153"/>
                </c:manualLayout>
              </c:layout>
              <c:tx>
                <c:rich>
                  <a:bodyPr/>
                  <a:lstStyle/>
                  <a:p>
                    <a:pPr>
                      <a:defRPr sz="1600" b="1"/>
                    </a:pPr>
                    <a:r>
                      <a:rPr lang="en-US" baseline="0"/>
                      <a:t>y = -0.1928x + 107.95
</a:t>
                    </a:r>
                    <a:endParaRPr lang="en-US"/>
                  </a:p>
                </c:rich>
              </c:tx>
              <c:numFmt formatCode="General" sourceLinked="0"/>
            </c:trendlineLbl>
          </c:trendline>
          <c:xVal>
            <c:numRef>
              <c:f>data!$A$3:$A$86</c:f>
              <c:numCache>
                <c:formatCode>General</c:formatCode>
                <c:ptCount val="84"/>
                <c:pt idx="0">
                  <c:v>55</c:v>
                </c:pt>
                <c:pt idx="1">
                  <c:v>70</c:v>
                </c:pt>
                <c:pt idx="2">
                  <c:v>56</c:v>
                </c:pt>
                <c:pt idx="3">
                  <c:v>47</c:v>
                </c:pt>
                <c:pt idx="4">
                  <c:v>55</c:v>
                </c:pt>
                <c:pt idx="5">
                  <c:v>53</c:v>
                </c:pt>
                <c:pt idx="6">
                  <c:v>30</c:v>
                </c:pt>
                <c:pt idx="7">
                  <c:v>38</c:v>
                </c:pt>
                <c:pt idx="8">
                  <c:v>45</c:v>
                </c:pt>
                <c:pt idx="9">
                  <c:v>30</c:v>
                </c:pt>
                <c:pt idx="10">
                  <c:v>32</c:v>
                </c:pt>
                <c:pt idx="11">
                  <c:v>46</c:v>
                </c:pt>
                <c:pt idx="12">
                  <c:v>53</c:v>
                </c:pt>
                <c:pt idx="13">
                  <c:v>55</c:v>
                </c:pt>
                <c:pt idx="14">
                  <c:v>53</c:v>
                </c:pt>
                <c:pt idx="15">
                  <c:v>49</c:v>
                </c:pt>
                <c:pt idx="16">
                  <c:v>51</c:v>
                </c:pt>
                <c:pt idx="17">
                  <c:v>43</c:v>
                </c:pt>
                <c:pt idx="18">
                  <c:v>60</c:v>
                </c:pt>
                <c:pt idx="19">
                  <c:v>59</c:v>
                </c:pt>
                <c:pt idx="20">
                  <c:v>40</c:v>
                </c:pt>
                <c:pt idx="21">
                  <c:v>65</c:v>
                </c:pt>
                <c:pt idx="22">
                  <c:v>65</c:v>
                </c:pt>
                <c:pt idx="23">
                  <c:v>40</c:v>
                </c:pt>
                <c:pt idx="24">
                  <c:v>65</c:v>
                </c:pt>
                <c:pt idx="25">
                  <c:v>33</c:v>
                </c:pt>
                <c:pt idx="26">
                  <c:v>26</c:v>
                </c:pt>
                <c:pt idx="27">
                  <c:v>65</c:v>
                </c:pt>
                <c:pt idx="28">
                  <c:v>22</c:v>
                </c:pt>
                <c:pt idx="29">
                  <c:v>63</c:v>
                </c:pt>
                <c:pt idx="30">
                  <c:v>45</c:v>
                </c:pt>
                <c:pt idx="31">
                  <c:v>31</c:v>
                </c:pt>
                <c:pt idx="32">
                  <c:v>33</c:v>
                </c:pt>
                <c:pt idx="33">
                  <c:v>55</c:v>
                </c:pt>
                <c:pt idx="34">
                  <c:v>30</c:v>
                </c:pt>
                <c:pt idx="35">
                  <c:v>65</c:v>
                </c:pt>
                <c:pt idx="36">
                  <c:v>18</c:v>
                </c:pt>
                <c:pt idx="37">
                  <c:v>40</c:v>
                </c:pt>
                <c:pt idx="38">
                  <c:v>44</c:v>
                </c:pt>
                <c:pt idx="39">
                  <c:v>35</c:v>
                </c:pt>
                <c:pt idx="40">
                  <c:v>43</c:v>
                </c:pt>
                <c:pt idx="41">
                  <c:v>60</c:v>
                </c:pt>
                <c:pt idx="42">
                  <c:v>45</c:v>
                </c:pt>
                <c:pt idx="43">
                  <c:v>57</c:v>
                </c:pt>
                <c:pt idx="44">
                  <c:v>55</c:v>
                </c:pt>
                <c:pt idx="45">
                  <c:v>54</c:v>
                </c:pt>
                <c:pt idx="46">
                  <c:v>52</c:v>
                </c:pt>
                <c:pt idx="47">
                  <c:v>55</c:v>
                </c:pt>
                <c:pt idx="48">
                  <c:v>60</c:v>
                </c:pt>
                <c:pt idx="49">
                  <c:v>55</c:v>
                </c:pt>
                <c:pt idx="50">
                  <c:v>30</c:v>
                </c:pt>
                <c:pt idx="51">
                  <c:v>52</c:v>
                </c:pt>
                <c:pt idx="52">
                  <c:v>38</c:v>
                </c:pt>
                <c:pt idx="53">
                  <c:v>40</c:v>
                </c:pt>
                <c:pt idx="54">
                  <c:v>18</c:v>
                </c:pt>
                <c:pt idx="55">
                  <c:v>35</c:v>
                </c:pt>
                <c:pt idx="56">
                  <c:v>46</c:v>
                </c:pt>
                <c:pt idx="57">
                  <c:v>21</c:v>
                </c:pt>
                <c:pt idx="58">
                  <c:v>52</c:v>
                </c:pt>
                <c:pt idx="59">
                  <c:v>28</c:v>
                </c:pt>
                <c:pt idx="60">
                  <c:v>45</c:v>
                </c:pt>
                <c:pt idx="61">
                  <c:v>40</c:v>
                </c:pt>
                <c:pt idx="62">
                  <c:v>52</c:v>
                </c:pt>
                <c:pt idx="63">
                  <c:v>46</c:v>
                </c:pt>
                <c:pt idx="64">
                  <c:v>25</c:v>
                </c:pt>
                <c:pt idx="65">
                  <c:v>30</c:v>
                </c:pt>
                <c:pt idx="66">
                  <c:v>22</c:v>
                </c:pt>
                <c:pt idx="67">
                  <c:v>43</c:v>
                </c:pt>
                <c:pt idx="68">
                  <c:v>33</c:v>
                </c:pt>
                <c:pt idx="69">
                  <c:v>61</c:v>
                </c:pt>
                <c:pt idx="70">
                  <c:v>40</c:v>
                </c:pt>
                <c:pt idx="71">
                  <c:v>55</c:v>
                </c:pt>
                <c:pt idx="72">
                  <c:v>46</c:v>
                </c:pt>
                <c:pt idx="73">
                  <c:v>32</c:v>
                </c:pt>
                <c:pt idx="74">
                  <c:v>45</c:v>
                </c:pt>
                <c:pt idx="75">
                  <c:v>52</c:v>
                </c:pt>
                <c:pt idx="76">
                  <c:v>60</c:v>
                </c:pt>
                <c:pt idx="77">
                  <c:v>24</c:v>
                </c:pt>
                <c:pt idx="78">
                  <c:v>47</c:v>
                </c:pt>
                <c:pt idx="79">
                  <c:v>31</c:v>
                </c:pt>
                <c:pt idx="80">
                  <c:v>65</c:v>
                </c:pt>
                <c:pt idx="81">
                  <c:v>42</c:v>
                </c:pt>
                <c:pt idx="82">
                  <c:v>34</c:v>
                </c:pt>
                <c:pt idx="83">
                  <c:v>42</c:v>
                </c:pt>
              </c:numCache>
            </c:numRef>
          </c:xVal>
          <c:yVal>
            <c:numRef>
              <c:f>data!$K$3:$K$86</c:f>
              <c:numCache>
                <c:formatCode>General</c:formatCode>
                <c:ptCount val="84"/>
                <c:pt idx="0">
                  <c:v>120</c:v>
                </c:pt>
                <c:pt idx="1">
                  <c:v>70</c:v>
                </c:pt>
                <c:pt idx="2">
                  <c:v>110</c:v>
                </c:pt>
                <c:pt idx="3">
                  <c:v>100</c:v>
                </c:pt>
                <c:pt idx="4">
                  <c:v>103</c:v>
                </c:pt>
                <c:pt idx="5">
                  <c:v>125</c:v>
                </c:pt>
                <c:pt idx="6">
                  <c:v>95</c:v>
                </c:pt>
                <c:pt idx="7">
                  <c:v>91</c:v>
                </c:pt>
                <c:pt idx="8">
                  <c:v>85</c:v>
                </c:pt>
                <c:pt idx="9">
                  <c:v>94</c:v>
                </c:pt>
                <c:pt idx="10">
                  <c:v>120</c:v>
                </c:pt>
                <c:pt idx="11">
                  <c:v>82</c:v>
                </c:pt>
                <c:pt idx="12">
                  <c:v>70</c:v>
                </c:pt>
                <c:pt idx="13">
                  <c:v>98</c:v>
                </c:pt>
                <c:pt idx="14">
                  <c:v>121</c:v>
                </c:pt>
                <c:pt idx="15">
                  <c:v>115</c:v>
                </c:pt>
                <c:pt idx="16">
                  <c:v>99</c:v>
                </c:pt>
                <c:pt idx="17">
                  <c:v>85</c:v>
                </c:pt>
                <c:pt idx="18">
                  <c:v>87</c:v>
                </c:pt>
                <c:pt idx="19">
                  <c:v>90</c:v>
                </c:pt>
                <c:pt idx="20">
                  <c:v>89</c:v>
                </c:pt>
                <c:pt idx="21">
                  <c:v>75</c:v>
                </c:pt>
                <c:pt idx="22">
                  <c:v>75.5</c:v>
                </c:pt>
                <c:pt idx="23">
                  <c:v>106</c:v>
                </c:pt>
                <c:pt idx="24">
                  <c:v>84</c:v>
                </c:pt>
                <c:pt idx="25">
                  <c:v>81</c:v>
                </c:pt>
                <c:pt idx="26">
                  <c:v>120</c:v>
                </c:pt>
                <c:pt idx="27">
                  <c:v>90.8</c:v>
                </c:pt>
                <c:pt idx="28">
                  <c:v>125</c:v>
                </c:pt>
                <c:pt idx="29">
                  <c:v>121</c:v>
                </c:pt>
                <c:pt idx="30">
                  <c:v>119</c:v>
                </c:pt>
                <c:pt idx="31">
                  <c:v>87.5</c:v>
                </c:pt>
                <c:pt idx="32">
                  <c:v>127</c:v>
                </c:pt>
                <c:pt idx="33">
                  <c:v>116</c:v>
                </c:pt>
                <c:pt idx="34">
                  <c:v>109</c:v>
                </c:pt>
                <c:pt idx="35">
                  <c:v>110</c:v>
                </c:pt>
                <c:pt idx="36">
                  <c:v>108</c:v>
                </c:pt>
                <c:pt idx="37">
                  <c:v>78.099999999999994</c:v>
                </c:pt>
                <c:pt idx="38">
                  <c:v>100</c:v>
                </c:pt>
                <c:pt idx="39">
                  <c:v>112</c:v>
                </c:pt>
                <c:pt idx="40">
                  <c:v>101</c:v>
                </c:pt>
                <c:pt idx="41">
                  <c:v>79</c:v>
                </c:pt>
                <c:pt idx="42">
                  <c:v>106</c:v>
                </c:pt>
                <c:pt idx="43">
                  <c:v>110</c:v>
                </c:pt>
                <c:pt idx="44">
                  <c:v>69</c:v>
                </c:pt>
                <c:pt idx="45">
                  <c:v>84.6</c:v>
                </c:pt>
                <c:pt idx="46">
                  <c:v>91.7</c:v>
                </c:pt>
                <c:pt idx="47">
                  <c:v>95</c:v>
                </c:pt>
                <c:pt idx="48">
                  <c:v>124</c:v>
                </c:pt>
                <c:pt idx="49">
                  <c:v>84.4</c:v>
                </c:pt>
                <c:pt idx="50">
                  <c:v>87</c:v>
                </c:pt>
                <c:pt idx="51">
                  <c:v>111</c:v>
                </c:pt>
                <c:pt idx="52">
                  <c:v>80</c:v>
                </c:pt>
                <c:pt idx="53">
                  <c:v>73.75</c:v>
                </c:pt>
                <c:pt idx="54">
                  <c:v>87</c:v>
                </c:pt>
                <c:pt idx="55">
                  <c:v>87</c:v>
                </c:pt>
                <c:pt idx="56">
                  <c:v>105</c:v>
                </c:pt>
                <c:pt idx="57">
                  <c:v>110</c:v>
                </c:pt>
                <c:pt idx="58">
                  <c:v>107</c:v>
                </c:pt>
                <c:pt idx="59">
                  <c:v>117</c:v>
                </c:pt>
                <c:pt idx="60">
                  <c:v>107</c:v>
                </c:pt>
                <c:pt idx="61">
                  <c:v>95</c:v>
                </c:pt>
                <c:pt idx="62">
                  <c:v>103</c:v>
                </c:pt>
                <c:pt idx="63">
                  <c:v>105</c:v>
                </c:pt>
                <c:pt idx="64">
                  <c:v>99</c:v>
                </c:pt>
                <c:pt idx="65">
                  <c:v>112</c:v>
                </c:pt>
                <c:pt idx="66">
                  <c:v>106</c:v>
                </c:pt>
                <c:pt idx="67">
                  <c:v>89</c:v>
                </c:pt>
                <c:pt idx="68">
                  <c:v>110</c:v>
                </c:pt>
                <c:pt idx="69">
                  <c:v>110</c:v>
                </c:pt>
                <c:pt idx="70">
                  <c:v>99</c:v>
                </c:pt>
                <c:pt idx="71">
                  <c:v>99</c:v>
                </c:pt>
                <c:pt idx="72">
                  <c:v>118</c:v>
                </c:pt>
                <c:pt idx="73">
                  <c:v>92</c:v>
                </c:pt>
                <c:pt idx="74">
                  <c:v>99</c:v>
                </c:pt>
                <c:pt idx="75">
                  <c:v>100</c:v>
                </c:pt>
                <c:pt idx="76">
                  <c:v>124</c:v>
                </c:pt>
                <c:pt idx="77">
                  <c:v>130</c:v>
                </c:pt>
                <c:pt idx="78">
                  <c:v>80</c:v>
                </c:pt>
                <c:pt idx="79">
                  <c:v>84</c:v>
                </c:pt>
                <c:pt idx="80">
                  <c:v>98</c:v>
                </c:pt>
                <c:pt idx="81">
                  <c:v>85</c:v>
                </c:pt>
                <c:pt idx="82">
                  <c:v>94</c:v>
                </c:pt>
                <c:pt idx="83">
                  <c:v>100</c:v>
                </c:pt>
              </c:numCache>
            </c:numRef>
          </c:yVal>
          <c:smooth val="0"/>
          <c:extLst>
            <c:ext xmlns:c16="http://schemas.microsoft.com/office/drawing/2014/chart" uri="{C3380CC4-5D6E-409C-BE32-E72D297353CC}">
              <c16:uniqueId val="{00000001-67C6-4976-B92D-A530E2922281}"/>
            </c:ext>
          </c:extLst>
        </c:ser>
        <c:dLbls>
          <c:showLegendKey val="0"/>
          <c:showVal val="0"/>
          <c:showCatName val="0"/>
          <c:showSerName val="0"/>
          <c:showPercent val="0"/>
          <c:showBubbleSize val="0"/>
        </c:dLbls>
        <c:axId val="80824960"/>
        <c:axId val="96441088"/>
      </c:scatterChart>
      <c:valAx>
        <c:axId val="80824960"/>
        <c:scaling>
          <c:orientation val="minMax"/>
        </c:scaling>
        <c:delete val="0"/>
        <c:axPos val="b"/>
        <c:title>
          <c:tx>
            <c:rich>
              <a:bodyPr/>
              <a:lstStyle/>
              <a:p>
                <a:pPr>
                  <a:defRPr sz="1400"/>
                </a:pPr>
                <a:r>
                  <a:rPr lang="en-US" sz="1400"/>
                  <a:t>Age (years)</a:t>
                </a:r>
              </a:p>
            </c:rich>
          </c:tx>
          <c:overlay val="0"/>
        </c:title>
        <c:numFmt formatCode="General" sourceLinked="1"/>
        <c:majorTickMark val="none"/>
        <c:minorTickMark val="none"/>
        <c:tickLblPos val="nextTo"/>
        <c:txPr>
          <a:bodyPr/>
          <a:lstStyle/>
          <a:p>
            <a:pPr>
              <a:defRPr sz="1400" b="1"/>
            </a:pPr>
            <a:endParaRPr lang="en-US"/>
          </a:p>
        </c:txPr>
        <c:crossAx val="96441088"/>
        <c:crosses val="autoZero"/>
        <c:crossBetween val="midCat"/>
      </c:valAx>
      <c:valAx>
        <c:axId val="96441088"/>
        <c:scaling>
          <c:orientation val="minMax"/>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r>
                  <a:rPr lang="en-US" sz="1600"/>
                  <a:t>Serum</a:t>
                </a:r>
                <a:r>
                  <a:rPr lang="en-US" sz="1600" baseline="0"/>
                  <a:t>  </a:t>
                </a:r>
                <a:r>
                  <a:rPr lang="en-US" sz="1600" b="1" i="0" u="none" strike="noStrike" baseline="0"/>
                  <a:t>creatinine clearance before chemotherapy(ml/min)</a:t>
                </a:r>
                <a:endParaRPr lang="en-US" sz="1600"/>
              </a:p>
            </c:rich>
          </c:tx>
          <c:overlay val="0"/>
        </c:title>
        <c:numFmt formatCode="General" sourceLinked="1"/>
        <c:majorTickMark val="none"/>
        <c:minorTickMark val="none"/>
        <c:tickLblPos val="nextTo"/>
        <c:txPr>
          <a:bodyPr/>
          <a:lstStyle/>
          <a:p>
            <a:pPr>
              <a:defRPr sz="1400" b="1"/>
            </a:pPr>
            <a:endParaRPr lang="en-US"/>
          </a:p>
        </c:txPr>
        <c:crossAx val="80824960"/>
        <c:crosses val="autoZero"/>
        <c:crossBetween val="midCat"/>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7"/>
            <c:spPr>
              <a:solidFill>
                <a:sysClr val="windowText" lastClr="000000"/>
              </a:solidFill>
            </c:spPr>
          </c:marker>
          <c:trendline>
            <c:trendlineType val="linear"/>
            <c:dispRSqr val="1"/>
            <c:dispEq val="1"/>
            <c:trendlineLbl>
              <c:layout>
                <c:manualLayout>
                  <c:x val="-0.38173648966956053"/>
                  <c:y val="-0.33147061162809194"/>
                </c:manualLayout>
              </c:layout>
              <c:tx>
                <c:rich>
                  <a:bodyPr/>
                  <a:lstStyle/>
                  <a:p>
                    <a:pPr>
                      <a:defRPr sz="1600"/>
                    </a:pPr>
                    <a:r>
                      <a:rPr lang="en-US" baseline="0"/>
                      <a:t>y = -1.0892x + 97.635</a:t>
                    </a:r>
                    <a:endParaRPr lang="en-US"/>
                  </a:p>
                </c:rich>
              </c:tx>
              <c:numFmt formatCode="General" sourceLinked="0"/>
            </c:trendlineLbl>
          </c:trendline>
          <c:xVal>
            <c:numRef>
              <c:f>data!$E$3:$E$86</c:f>
              <c:numCache>
                <c:formatCode>General</c:formatCode>
                <c:ptCount val="84"/>
                <c:pt idx="0">
                  <c:v>21.9</c:v>
                </c:pt>
                <c:pt idx="1">
                  <c:v>25.7</c:v>
                </c:pt>
                <c:pt idx="2">
                  <c:v>19.2</c:v>
                </c:pt>
                <c:pt idx="3">
                  <c:v>23.1</c:v>
                </c:pt>
                <c:pt idx="4">
                  <c:v>19.3</c:v>
                </c:pt>
                <c:pt idx="5">
                  <c:v>23.4</c:v>
                </c:pt>
                <c:pt idx="6">
                  <c:v>19.3</c:v>
                </c:pt>
                <c:pt idx="7">
                  <c:v>21</c:v>
                </c:pt>
                <c:pt idx="8">
                  <c:v>21.6</c:v>
                </c:pt>
                <c:pt idx="9">
                  <c:v>21.4</c:v>
                </c:pt>
                <c:pt idx="10">
                  <c:v>31.1</c:v>
                </c:pt>
                <c:pt idx="11">
                  <c:v>21.6</c:v>
                </c:pt>
                <c:pt idx="12">
                  <c:v>21.4</c:v>
                </c:pt>
                <c:pt idx="13">
                  <c:v>22.8</c:v>
                </c:pt>
                <c:pt idx="14">
                  <c:v>16.399999999999999</c:v>
                </c:pt>
                <c:pt idx="15">
                  <c:v>25</c:v>
                </c:pt>
                <c:pt idx="16">
                  <c:v>18.3</c:v>
                </c:pt>
                <c:pt idx="17">
                  <c:v>22</c:v>
                </c:pt>
                <c:pt idx="18">
                  <c:v>19.8</c:v>
                </c:pt>
                <c:pt idx="19">
                  <c:v>23.5</c:v>
                </c:pt>
                <c:pt idx="20">
                  <c:v>19.8</c:v>
                </c:pt>
                <c:pt idx="21">
                  <c:v>27.1</c:v>
                </c:pt>
                <c:pt idx="22">
                  <c:v>20.6</c:v>
                </c:pt>
                <c:pt idx="23">
                  <c:v>27.7</c:v>
                </c:pt>
                <c:pt idx="24">
                  <c:v>27.2</c:v>
                </c:pt>
                <c:pt idx="25">
                  <c:v>19.7</c:v>
                </c:pt>
                <c:pt idx="26">
                  <c:v>22.2</c:v>
                </c:pt>
                <c:pt idx="27">
                  <c:v>33.700000000000003</c:v>
                </c:pt>
                <c:pt idx="28">
                  <c:v>20.399999999999999</c:v>
                </c:pt>
                <c:pt idx="29">
                  <c:v>37.300000000000004</c:v>
                </c:pt>
                <c:pt idx="30">
                  <c:v>22.7</c:v>
                </c:pt>
                <c:pt idx="31">
                  <c:v>17.2</c:v>
                </c:pt>
                <c:pt idx="32">
                  <c:v>26.6</c:v>
                </c:pt>
                <c:pt idx="33">
                  <c:v>33.5</c:v>
                </c:pt>
                <c:pt idx="34">
                  <c:v>19.7</c:v>
                </c:pt>
                <c:pt idx="35">
                  <c:v>27.2</c:v>
                </c:pt>
                <c:pt idx="36">
                  <c:v>29.6</c:v>
                </c:pt>
                <c:pt idx="37">
                  <c:v>18</c:v>
                </c:pt>
                <c:pt idx="38">
                  <c:v>21</c:v>
                </c:pt>
                <c:pt idx="39">
                  <c:v>23.8</c:v>
                </c:pt>
                <c:pt idx="40">
                  <c:v>23.9</c:v>
                </c:pt>
                <c:pt idx="41">
                  <c:v>19.8</c:v>
                </c:pt>
                <c:pt idx="42">
                  <c:v>22.8</c:v>
                </c:pt>
                <c:pt idx="43">
                  <c:v>32.9</c:v>
                </c:pt>
                <c:pt idx="44">
                  <c:v>22.9</c:v>
                </c:pt>
                <c:pt idx="45">
                  <c:v>24.2</c:v>
                </c:pt>
                <c:pt idx="46">
                  <c:v>22</c:v>
                </c:pt>
                <c:pt idx="47">
                  <c:v>22.6</c:v>
                </c:pt>
                <c:pt idx="48">
                  <c:v>27.2</c:v>
                </c:pt>
                <c:pt idx="49">
                  <c:v>24.2</c:v>
                </c:pt>
                <c:pt idx="50">
                  <c:v>19.7</c:v>
                </c:pt>
                <c:pt idx="51">
                  <c:v>22</c:v>
                </c:pt>
                <c:pt idx="52">
                  <c:v>21.2</c:v>
                </c:pt>
                <c:pt idx="53">
                  <c:v>23.6</c:v>
                </c:pt>
                <c:pt idx="54">
                  <c:v>27.2</c:v>
                </c:pt>
                <c:pt idx="55">
                  <c:v>22.2</c:v>
                </c:pt>
                <c:pt idx="56">
                  <c:v>17.100000000000001</c:v>
                </c:pt>
                <c:pt idx="57">
                  <c:v>27</c:v>
                </c:pt>
                <c:pt idx="58">
                  <c:v>25</c:v>
                </c:pt>
                <c:pt idx="59">
                  <c:v>21.5</c:v>
                </c:pt>
                <c:pt idx="60">
                  <c:v>22.5</c:v>
                </c:pt>
                <c:pt idx="61">
                  <c:v>21.2</c:v>
                </c:pt>
                <c:pt idx="62">
                  <c:v>22.3</c:v>
                </c:pt>
                <c:pt idx="63">
                  <c:v>24.1</c:v>
                </c:pt>
                <c:pt idx="64">
                  <c:v>19.8</c:v>
                </c:pt>
                <c:pt idx="65">
                  <c:v>26</c:v>
                </c:pt>
                <c:pt idx="66">
                  <c:v>28.7</c:v>
                </c:pt>
                <c:pt idx="67">
                  <c:v>22</c:v>
                </c:pt>
                <c:pt idx="68">
                  <c:v>23.1</c:v>
                </c:pt>
                <c:pt idx="69">
                  <c:v>27</c:v>
                </c:pt>
                <c:pt idx="70">
                  <c:v>25</c:v>
                </c:pt>
                <c:pt idx="71">
                  <c:v>19.100000000000001</c:v>
                </c:pt>
                <c:pt idx="72">
                  <c:v>22</c:v>
                </c:pt>
                <c:pt idx="73">
                  <c:v>18.899999999999999</c:v>
                </c:pt>
                <c:pt idx="74">
                  <c:v>19.2</c:v>
                </c:pt>
                <c:pt idx="75">
                  <c:v>26.5</c:v>
                </c:pt>
                <c:pt idx="76">
                  <c:v>22.5</c:v>
                </c:pt>
                <c:pt idx="77">
                  <c:v>17.8</c:v>
                </c:pt>
                <c:pt idx="78">
                  <c:v>19.3</c:v>
                </c:pt>
                <c:pt idx="79">
                  <c:v>25.7</c:v>
                </c:pt>
                <c:pt idx="80">
                  <c:v>23.9</c:v>
                </c:pt>
                <c:pt idx="81">
                  <c:v>19.600000000000001</c:v>
                </c:pt>
                <c:pt idx="82">
                  <c:v>26.3</c:v>
                </c:pt>
                <c:pt idx="83">
                  <c:v>21.2</c:v>
                </c:pt>
              </c:numCache>
            </c:numRef>
          </c:xVal>
          <c:yVal>
            <c:numRef>
              <c:f>data!$T$3:$T$87</c:f>
              <c:numCache>
                <c:formatCode>General</c:formatCode>
                <c:ptCount val="85"/>
                <c:pt idx="0">
                  <c:v>100</c:v>
                </c:pt>
                <c:pt idx="1">
                  <c:v>42.42</c:v>
                </c:pt>
                <c:pt idx="2">
                  <c:v>50.91</c:v>
                </c:pt>
                <c:pt idx="3">
                  <c:v>59.94</c:v>
                </c:pt>
                <c:pt idx="4">
                  <c:v>52.52</c:v>
                </c:pt>
                <c:pt idx="5">
                  <c:v>89.490000000000023</c:v>
                </c:pt>
                <c:pt idx="6">
                  <c:v>74.39</c:v>
                </c:pt>
                <c:pt idx="7">
                  <c:v>100</c:v>
                </c:pt>
                <c:pt idx="8">
                  <c:v>49.48</c:v>
                </c:pt>
                <c:pt idx="9">
                  <c:v>97.59</c:v>
                </c:pt>
                <c:pt idx="10">
                  <c:v>58.39</c:v>
                </c:pt>
                <c:pt idx="11">
                  <c:v>59.83</c:v>
                </c:pt>
                <c:pt idx="12">
                  <c:v>89.490000000000023</c:v>
                </c:pt>
                <c:pt idx="13">
                  <c:v>81.900000000000006</c:v>
                </c:pt>
                <c:pt idx="14">
                  <c:v>81.14</c:v>
                </c:pt>
                <c:pt idx="15">
                  <c:v>113</c:v>
                </c:pt>
                <c:pt idx="16">
                  <c:v>93.72</c:v>
                </c:pt>
                <c:pt idx="17">
                  <c:v>74</c:v>
                </c:pt>
                <c:pt idx="18">
                  <c:v>90</c:v>
                </c:pt>
                <c:pt idx="19">
                  <c:v>88.5</c:v>
                </c:pt>
                <c:pt idx="20">
                  <c:v>72.13</c:v>
                </c:pt>
                <c:pt idx="21">
                  <c:v>57.35</c:v>
                </c:pt>
                <c:pt idx="22">
                  <c:v>50.91</c:v>
                </c:pt>
                <c:pt idx="23">
                  <c:v>74.36</c:v>
                </c:pt>
                <c:pt idx="24">
                  <c:v>69.95</c:v>
                </c:pt>
                <c:pt idx="25">
                  <c:v>71.63</c:v>
                </c:pt>
                <c:pt idx="26">
                  <c:v>88.5</c:v>
                </c:pt>
                <c:pt idx="27">
                  <c:v>42.34</c:v>
                </c:pt>
                <c:pt idx="28">
                  <c:v>55.14</c:v>
                </c:pt>
                <c:pt idx="29">
                  <c:v>42.27</c:v>
                </c:pt>
                <c:pt idx="30">
                  <c:v>50.28</c:v>
                </c:pt>
                <c:pt idx="31">
                  <c:v>44.81</c:v>
                </c:pt>
                <c:pt idx="32">
                  <c:v>60.4</c:v>
                </c:pt>
                <c:pt idx="33">
                  <c:v>118</c:v>
                </c:pt>
                <c:pt idx="34">
                  <c:v>71.63</c:v>
                </c:pt>
                <c:pt idx="35">
                  <c:v>69.95</c:v>
                </c:pt>
                <c:pt idx="36">
                  <c:v>77.31</c:v>
                </c:pt>
                <c:pt idx="37">
                  <c:v>81.84</c:v>
                </c:pt>
                <c:pt idx="38">
                  <c:v>65.23</c:v>
                </c:pt>
                <c:pt idx="39">
                  <c:v>55.05</c:v>
                </c:pt>
                <c:pt idx="40">
                  <c:v>78.13</c:v>
                </c:pt>
                <c:pt idx="41">
                  <c:v>77.48</c:v>
                </c:pt>
                <c:pt idx="42">
                  <c:v>56</c:v>
                </c:pt>
                <c:pt idx="43">
                  <c:v>0</c:v>
                </c:pt>
                <c:pt idx="44">
                  <c:v>51.64</c:v>
                </c:pt>
                <c:pt idx="45">
                  <c:v>72.010000000000005</c:v>
                </c:pt>
                <c:pt idx="46">
                  <c:v>56.92</c:v>
                </c:pt>
                <c:pt idx="47">
                  <c:v>51.64</c:v>
                </c:pt>
                <c:pt idx="48">
                  <c:v>69.95</c:v>
                </c:pt>
                <c:pt idx="49">
                  <c:v>72.010000000000005</c:v>
                </c:pt>
                <c:pt idx="50">
                  <c:v>71.63</c:v>
                </c:pt>
                <c:pt idx="51">
                  <c:v>56.92</c:v>
                </c:pt>
                <c:pt idx="52">
                  <c:v>59.05</c:v>
                </c:pt>
                <c:pt idx="53">
                  <c:v>81.84</c:v>
                </c:pt>
                <c:pt idx="54">
                  <c:v>77.31</c:v>
                </c:pt>
                <c:pt idx="55">
                  <c:v>90.01</c:v>
                </c:pt>
                <c:pt idx="56">
                  <c:v>110.28</c:v>
                </c:pt>
                <c:pt idx="57">
                  <c:v>74.25</c:v>
                </c:pt>
                <c:pt idx="58">
                  <c:v>45.89</c:v>
                </c:pt>
                <c:pt idx="59">
                  <c:v>78.179999999999978</c:v>
                </c:pt>
                <c:pt idx="60">
                  <c:v>84.789999999999992</c:v>
                </c:pt>
                <c:pt idx="61">
                  <c:v>76.679999999999978</c:v>
                </c:pt>
                <c:pt idx="62">
                  <c:v>82.84</c:v>
                </c:pt>
                <c:pt idx="63">
                  <c:v>65.39</c:v>
                </c:pt>
                <c:pt idx="64">
                  <c:v>80.8</c:v>
                </c:pt>
                <c:pt idx="65">
                  <c:v>78.819999999999993</c:v>
                </c:pt>
                <c:pt idx="66">
                  <c:v>83</c:v>
                </c:pt>
                <c:pt idx="67">
                  <c:v>77.97</c:v>
                </c:pt>
                <c:pt idx="68">
                  <c:v>81.789999999999992</c:v>
                </c:pt>
                <c:pt idx="69">
                  <c:v>82.990000000000023</c:v>
                </c:pt>
                <c:pt idx="70">
                  <c:v>74.349999999999994</c:v>
                </c:pt>
                <c:pt idx="71">
                  <c:v>84</c:v>
                </c:pt>
                <c:pt idx="72">
                  <c:v>65.5</c:v>
                </c:pt>
                <c:pt idx="73">
                  <c:v>82.9</c:v>
                </c:pt>
                <c:pt idx="74">
                  <c:v>78.900000000000006</c:v>
                </c:pt>
                <c:pt idx="75">
                  <c:v>80.3</c:v>
                </c:pt>
                <c:pt idx="76">
                  <c:v>81.2</c:v>
                </c:pt>
                <c:pt idx="77">
                  <c:v>79.56</c:v>
                </c:pt>
                <c:pt idx="78">
                  <c:v>85.8</c:v>
                </c:pt>
                <c:pt idx="79">
                  <c:v>79.3</c:v>
                </c:pt>
                <c:pt idx="80">
                  <c:v>88</c:v>
                </c:pt>
                <c:pt idx="81">
                  <c:v>78.440000000000026</c:v>
                </c:pt>
                <c:pt idx="82">
                  <c:v>71.649999999999991</c:v>
                </c:pt>
                <c:pt idx="83">
                  <c:v>60.4</c:v>
                </c:pt>
                <c:pt idx="84">
                  <c:v>70.599999999999994</c:v>
                </c:pt>
              </c:numCache>
            </c:numRef>
          </c:yVal>
          <c:smooth val="0"/>
          <c:extLst>
            <c:ext xmlns:c16="http://schemas.microsoft.com/office/drawing/2014/chart" uri="{C3380CC4-5D6E-409C-BE32-E72D297353CC}">
              <c16:uniqueId val="{00000001-1E3F-40A9-8D46-DE6831A993D9}"/>
            </c:ext>
          </c:extLst>
        </c:ser>
        <c:dLbls>
          <c:showLegendKey val="0"/>
          <c:showVal val="0"/>
          <c:showCatName val="0"/>
          <c:showSerName val="0"/>
          <c:showPercent val="0"/>
          <c:showBubbleSize val="0"/>
        </c:dLbls>
        <c:axId val="96889088"/>
        <c:axId val="97649024"/>
      </c:scatterChart>
      <c:valAx>
        <c:axId val="96889088"/>
        <c:scaling>
          <c:orientation val="minMax"/>
        </c:scaling>
        <c:delete val="0"/>
        <c:axPos val="b"/>
        <c:title>
          <c:tx>
            <c:rich>
              <a:bodyPr/>
              <a:lstStyle/>
              <a:p>
                <a:pPr>
                  <a:defRPr sz="1600" b="1"/>
                </a:pPr>
                <a:r>
                  <a:rPr lang="en-US" sz="1600" b="1"/>
                  <a:t>Body mass index (Kg/m2)</a:t>
                </a:r>
              </a:p>
            </c:rich>
          </c:tx>
          <c:overlay val="0"/>
        </c:title>
        <c:numFmt formatCode="General" sourceLinked="1"/>
        <c:majorTickMark val="none"/>
        <c:minorTickMark val="none"/>
        <c:tickLblPos val="nextTo"/>
        <c:txPr>
          <a:bodyPr/>
          <a:lstStyle/>
          <a:p>
            <a:pPr>
              <a:defRPr sz="1400"/>
            </a:pPr>
            <a:endParaRPr lang="en-US"/>
          </a:p>
        </c:txPr>
        <c:crossAx val="97649024"/>
        <c:crosses val="autoZero"/>
        <c:crossBetween val="midCat"/>
      </c:valAx>
      <c:valAx>
        <c:axId val="97649024"/>
        <c:scaling>
          <c:orientation val="minMax"/>
        </c:scaling>
        <c:delete val="0"/>
        <c:axPos val="l"/>
        <c:majorGridlines/>
        <c:title>
          <c:tx>
            <c:rich>
              <a:bodyPr/>
              <a:lstStyle/>
              <a:p>
                <a:pPr>
                  <a:defRPr sz="1600"/>
                </a:pPr>
                <a:r>
                  <a:rPr lang="en-US" sz="1600"/>
                  <a:t>GFR after chemotherapy</a:t>
                </a:r>
                <a:r>
                  <a:rPr lang="en-US" sz="1600" b="1" i="0" u="none" strike="noStrike" baseline="0"/>
                  <a:t>(ml/min)</a:t>
                </a:r>
                <a:endParaRPr lang="en-US" sz="1600"/>
              </a:p>
            </c:rich>
          </c:tx>
          <c:overlay val="0"/>
        </c:title>
        <c:numFmt formatCode="General" sourceLinked="1"/>
        <c:majorTickMark val="none"/>
        <c:minorTickMark val="none"/>
        <c:tickLblPos val="nextTo"/>
        <c:txPr>
          <a:bodyPr/>
          <a:lstStyle/>
          <a:p>
            <a:pPr>
              <a:defRPr sz="1400"/>
            </a:pPr>
            <a:endParaRPr lang="en-US"/>
          </a:p>
        </c:txPr>
        <c:crossAx val="96889088"/>
        <c:crosses val="autoZero"/>
        <c:crossBetween val="midCat"/>
      </c:valAx>
    </c:plotArea>
    <c:plotVisOnly val="1"/>
    <c:dispBlanksAs val="gap"/>
    <c:showDLblsOverMax val="0"/>
  </c:chart>
  <c:txPr>
    <a:bodyPr/>
    <a:lstStyle/>
    <a:p>
      <a:pPr>
        <a:defRPr sz="1200" b="1"/>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1951</TotalTime>
  <Pages>7</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dc:creator>
  <cp:keywords/>
  <dc:description/>
  <cp:lastModifiedBy>Mohamed Ahmed M. Said</cp:lastModifiedBy>
  <cp:revision>52</cp:revision>
  <dcterms:created xsi:type="dcterms:W3CDTF">2017-08-27T21:50:00Z</dcterms:created>
  <dcterms:modified xsi:type="dcterms:W3CDTF">2018-02-20T06:01:00Z</dcterms:modified>
</cp:coreProperties>
</file>