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44B9E" w:rsidP="00744B9E">
      <w:pPr>
        <w:pStyle w:val="Heading1"/>
        <w:spacing w:before="170"/>
        <w:ind w:left="0"/>
      </w:pPr>
      <w:r>
        <w:rPr>
          <w:color w:val="337AB7"/>
        </w:rPr>
        <w:t>SMR N</w:t>
      </w:r>
      <w:r w:rsidRPr="009E79D3">
        <w:rPr>
          <w:color w:val="337AB7"/>
        </w:rPr>
        <w:t xml:space="preserve">eutronics and </w:t>
      </w:r>
      <w:r>
        <w:rPr>
          <w:color w:val="337AB7"/>
        </w:rPr>
        <w:t>T</w:t>
      </w:r>
      <w:r w:rsidRPr="009E79D3">
        <w:rPr>
          <w:color w:val="337AB7"/>
        </w:rPr>
        <w:t>h</w:t>
      </w:r>
      <w:r>
        <w:rPr>
          <w:color w:val="337AB7"/>
        </w:rPr>
        <w:t>ermal-H</w:t>
      </w:r>
      <w:r w:rsidRPr="009E79D3">
        <w:rPr>
          <w:color w:val="337AB7"/>
        </w:rPr>
        <w:t>ydraulics</w:t>
      </w:r>
      <w:r w:rsidRPr="009E79D3">
        <w:rPr>
          <w:color w:val="337AB7"/>
        </w:rPr>
        <w:t xml:space="preserve"> </w:t>
      </w:r>
      <w:r w:rsidR="009E79D3" w:rsidRPr="009E79D3">
        <w:rPr>
          <w:color w:val="337AB7"/>
        </w:rPr>
        <w:t>Safety-</w:t>
      </w:r>
      <w:r>
        <w:rPr>
          <w:color w:val="337AB7"/>
        </w:rPr>
        <w:t>R</w:t>
      </w:r>
      <w:r w:rsidR="009E79D3" w:rsidRPr="009E79D3">
        <w:rPr>
          <w:color w:val="337AB7"/>
        </w:rPr>
        <w:t xml:space="preserve">elated </w:t>
      </w:r>
      <w:r>
        <w:rPr>
          <w:color w:val="337AB7"/>
        </w:rPr>
        <w:t>Investigation</w:t>
      </w:r>
    </w:p>
    <w:p w:rsidR="00744B9E" w:rsidRDefault="00744B9E" w:rsidP="00744B9E">
      <w:pPr>
        <w:pStyle w:val="BodyText"/>
        <w:spacing w:before="73" w:line="198" w:lineRule="exact"/>
        <w:ind w:left="100" w:right="5987"/>
        <w:rPr>
          <w:rFonts w:ascii="Arial"/>
          <w:lang w:val="en-GB"/>
        </w:rPr>
      </w:pPr>
      <w:r>
        <w:rPr>
          <w:rFonts w:ascii="Arial"/>
        </w:rPr>
        <w:t>Yousef Alzaben,</w:t>
      </w:r>
      <w:r w:rsidR="005973B9">
        <w:rPr>
          <w:rFonts w:ascii="Arial"/>
        </w:rPr>
        <w:t xml:space="preserve"> </w:t>
      </w:r>
      <w:r w:rsidRPr="00A35BBE">
        <w:rPr>
          <w:rFonts w:ascii="Arial"/>
          <w:lang w:val="en-GB"/>
        </w:rPr>
        <w:t>KIT</w:t>
      </w:r>
      <w:r>
        <w:rPr>
          <w:rFonts w:ascii="Arial"/>
          <w:lang w:val="en-GB"/>
        </w:rPr>
        <w:t>,</w:t>
      </w:r>
      <w:r w:rsidRPr="00A35BBE">
        <w:rPr>
          <w:rFonts w:ascii="Arial"/>
          <w:lang w:val="en-GB"/>
        </w:rPr>
        <w:t xml:space="preserve"> Germany</w:t>
      </w:r>
    </w:p>
    <w:p w:rsidR="00F815B5" w:rsidRDefault="00F815B5" w:rsidP="00744B9E">
      <w:pPr>
        <w:pStyle w:val="BodyText"/>
        <w:spacing w:before="73" w:line="198" w:lineRule="exact"/>
        <w:ind w:left="100" w:right="5987"/>
        <w:rPr>
          <w:rFonts w:ascii="Arial"/>
        </w:rPr>
      </w:pPr>
      <w:r w:rsidRPr="00A35BBE">
        <w:rPr>
          <w:rFonts w:ascii="Arial"/>
          <w:lang w:val="en-GB"/>
        </w:rPr>
        <w:t>Victor Hugo Sanchez-Espinoza, PhD, KIT</w:t>
      </w:r>
      <w:r>
        <w:rPr>
          <w:rFonts w:ascii="Arial"/>
          <w:lang w:val="en-GB"/>
        </w:rPr>
        <w:t>,</w:t>
      </w:r>
      <w:r w:rsidRPr="00A35BBE">
        <w:rPr>
          <w:rFonts w:ascii="Arial"/>
          <w:lang w:val="en-GB"/>
        </w:rPr>
        <w:t xml:space="preserve"> Germany</w:t>
      </w:r>
    </w:p>
    <w:p w:rsidR="005973B9" w:rsidRPr="00744B9E" w:rsidRDefault="00744B9E" w:rsidP="00744B9E">
      <w:pPr>
        <w:pStyle w:val="BodyText"/>
        <w:spacing w:before="73" w:line="198" w:lineRule="exact"/>
        <w:ind w:left="100" w:right="5987"/>
        <w:rPr>
          <w:rFonts w:ascii="Arial"/>
          <w:lang w:val="de-DE"/>
        </w:rPr>
      </w:pPr>
      <w:r w:rsidRPr="00744B9E">
        <w:rPr>
          <w:rFonts w:ascii="Arial"/>
          <w:lang w:val="de-DE"/>
        </w:rPr>
        <w:t>Robert Stieglitz</w:t>
      </w:r>
      <w:r>
        <w:rPr>
          <w:rFonts w:ascii="Arial"/>
          <w:lang w:val="de-DE"/>
        </w:rPr>
        <w:t>,</w:t>
      </w:r>
      <w:r w:rsidRPr="00744B9E">
        <w:rPr>
          <w:rFonts w:ascii="Arial"/>
          <w:lang w:val="de-DE"/>
        </w:rPr>
        <w:t xml:space="preserve"> Professor, KIT, Germany</w:t>
      </w:r>
    </w:p>
    <w:p w:rsidR="00AE3E37" w:rsidRPr="00744B9E" w:rsidRDefault="00AE3E37">
      <w:pPr>
        <w:pStyle w:val="BodyText"/>
        <w:spacing w:before="3"/>
        <w:rPr>
          <w:rFonts w:ascii="Arial"/>
          <w:sz w:val="21"/>
          <w:lang w:val="de-DE"/>
        </w:rPr>
      </w:pPr>
    </w:p>
    <w:p w:rsidR="00AE3E37" w:rsidRPr="00744B9E" w:rsidRDefault="00AE3E37">
      <w:pPr>
        <w:rPr>
          <w:rFonts w:ascii="Arial"/>
          <w:sz w:val="21"/>
          <w:lang w:val="de-DE"/>
        </w:rPr>
        <w:sectPr w:rsidR="00AE3E37" w:rsidRPr="00744B9E">
          <w:headerReference w:type="default" r:id="rId9"/>
          <w:footerReference w:type="default" r:id="rId10"/>
          <w:type w:val="continuous"/>
          <w:pgSz w:w="11910" w:h="16840"/>
          <w:pgMar w:top="1740" w:right="600" w:bottom="840" w:left="620" w:header="541" w:footer="642" w:gutter="0"/>
          <w:cols w:space="720"/>
        </w:sectPr>
      </w:pPr>
    </w:p>
    <w:p w:rsidR="00AE3E37" w:rsidRDefault="00A9710C" w:rsidP="00744B9E">
      <w:pPr>
        <w:pStyle w:val="Heading3"/>
        <w:spacing w:before="147"/>
        <w:jc w:val="both"/>
      </w:pPr>
      <w:r>
        <w:rPr>
          <w:color w:val="BF5A14"/>
        </w:rPr>
        <w:lastRenderedPageBreak/>
        <w:t>Abstract</w:t>
      </w:r>
    </w:p>
    <w:p w:rsidR="00AE3E37" w:rsidRDefault="009C0352">
      <w:pPr>
        <w:pStyle w:val="BodyText"/>
        <w:spacing w:before="90" w:line="280" w:lineRule="auto"/>
        <w:ind w:left="100"/>
        <w:jc w:val="both"/>
      </w:pPr>
      <w:r w:rsidRPr="009C0352">
        <w:t>Worldwide many countries are interested in developing light-water Small Modular Reactors (SMRs) due to its (1) attractive economics which enables standardization, modularization and factory fabrication, (2) taking advantage of the accumulated industrial experience in LWRs, and (3) enhanced safety features through the integral design. SMRs can offer solutions for countries that have locations far away from electrical grids or limited infrastructure. It can also provide solutions for an increased demand for water desalination and district heating.</w:t>
      </w:r>
    </w:p>
    <w:p w:rsidR="009C0352" w:rsidRDefault="009C0352">
      <w:pPr>
        <w:pStyle w:val="BodyText"/>
        <w:spacing w:before="90" w:line="280" w:lineRule="auto"/>
        <w:ind w:left="100"/>
        <w:jc w:val="both"/>
      </w:pPr>
      <w:r w:rsidRPr="009C0352">
        <w:t>At Karlsruhe Institute of Technology (KIT), safety-related investigation has started to study the Korean’s soluble-boron operated SMR core concept (SMART) and to modify the core design to operate without soluble-boron in the coolant. Therefore, the details of the fuel assembly design and core arrangement are different from SMART core design. The developed core design is called Karlsruhe Small Modular Reactor (KSMR). The KSMR-core is a boron-free core c</w:t>
      </w:r>
      <w:bookmarkStart w:id="0" w:name="_GoBack"/>
      <w:bookmarkEnd w:id="0"/>
      <w:r w:rsidRPr="009C0352">
        <w:t>haracterized by enhanced safety features as a result of (1) avoiding concerns related to boric acid induced corrosion of pressure vessels internals, and (2) eliminating the probability of boron dilution accidents. Many proven PWR technologies were adopted in the KSMR core in terms of fuel assembly design and material selection.</w:t>
      </w:r>
    </w:p>
    <w:p w:rsidR="009C0352" w:rsidRDefault="009C0352" w:rsidP="003338A8">
      <w:pPr>
        <w:pStyle w:val="BodyText"/>
        <w:spacing w:before="90" w:line="280" w:lineRule="auto"/>
        <w:ind w:left="100"/>
        <w:jc w:val="both"/>
      </w:pPr>
      <w:r w:rsidRPr="009C0352">
        <w:t xml:space="preserve">The </w:t>
      </w:r>
      <w:r>
        <w:t>KSMR</w:t>
      </w:r>
      <w:r w:rsidRPr="009C0352">
        <w:t xml:space="preserve"> core was designed to limit and establish sufficient margins to thermal-crisis, cold shutdown margin, and pin peaking factor through the proper design of burnable absorbers and control rods. Utilizing multi-physics coupled tools; KSMR core behavior fulfilled the imposed</w:t>
      </w:r>
      <w:r w:rsidR="003338A8">
        <w:t xml:space="preserve"> design and safety objectives. In this presentation, core</w:t>
      </w:r>
      <w:r w:rsidRPr="009C0352">
        <w:t xml:space="preserve"> </w:t>
      </w:r>
      <w:r w:rsidR="003338A8">
        <w:t xml:space="preserve">characteristics </w:t>
      </w:r>
      <w:r w:rsidRPr="009C0352">
        <w:t xml:space="preserve">from both neutronics and thermal-hydraulics </w:t>
      </w:r>
      <w:r>
        <w:t>will be</w:t>
      </w:r>
      <w:r w:rsidRPr="009C0352">
        <w:t xml:space="preserve"> demonstrated </w:t>
      </w:r>
      <w:r w:rsidR="003338A8">
        <w:t>and discussed along with strength assessment of the KSMR core under control rod ejection accident.</w:t>
      </w:r>
    </w:p>
    <w:p w:rsidR="00AE3E37" w:rsidRDefault="00A9710C">
      <w:pPr>
        <w:pStyle w:val="Heading3"/>
        <w:spacing w:before="74"/>
        <w:rPr>
          <w:color w:val="BF5A14"/>
        </w:rPr>
      </w:pPr>
      <w:r>
        <w:rPr>
          <w:b w:val="0"/>
        </w:rPr>
        <w:br w:type="column"/>
      </w:r>
      <w:r>
        <w:rPr>
          <w:color w:val="BF5A14"/>
        </w:rPr>
        <w:lastRenderedPageBreak/>
        <w:t>Image</w:t>
      </w:r>
    </w:p>
    <w:p w:rsidR="009E79D3" w:rsidRDefault="009E79D3">
      <w:pPr>
        <w:pStyle w:val="Heading3"/>
        <w:spacing w:before="74"/>
      </w:pPr>
    </w:p>
    <w:p w:rsidR="00AE3E37" w:rsidRDefault="009E79D3" w:rsidP="009E79D3">
      <w:pPr>
        <w:pStyle w:val="BodyText"/>
        <w:spacing w:before="2"/>
        <w:rPr>
          <w:rFonts w:ascii="Arial"/>
          <w:b/>
          <w:sz w:val="16"/>
        </w:rPr>
      </w:pPr>
      <w:r w:rsidRPr="009E79D3">
        <w:rPr>
          <w:rFonts w:ascii="Arial"/>
          <w:b/>
          <w:sz w:val="16"/>
        </w:rPr>
        <w:drawing>
          <wp:inline distT="0" distB="0" distL="0" distR="0">
            <wp:extent cx="1258215" cy="1257073"/>
            <wp:effectExtent l="0" t="0" r="0" b="635"/>
            <wp:docPr id="93" name="Picture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3" name="Picture 1"/>
                    <pic:cNvPicPr>
                      <a:picLocks noGrp="1" noChangeAspect="1" noChangeArrowheads="1"/>
                    </pic:cNvPicPr>
                  </pic:nvPicPr>
                  <pic:blipFill rotWithShape="1">
                    <a:blip r:embed="rId11" cstate="print">
                      <a:extLst>
                        <a:ext uri="{28A0092B-C50C-407E-A947-70E740481C1C}">
                          <a14:useLocalDpi xmlns:a14="http://schemas.microsoft.com/office/drawing/2010/main" val="0"/>
                        </a:ext>
                      </a:extLst>
                    </a:blip>
                    <a:srcRect l="9033"/>
                    <a:stretch/>
                  </pic:blipFill>
                  <pic:spPr bwMode="auto">
                    <a:xfrm>
                      <a:off x="0" y="0"/>
                      <a:ext cx="1257362" cy="1256221"/>
                    </a:xfrm>
                    <a:prstGeom prst="rect">
                      <a:avLst/>
                    </a:prstGeom>
                    <a:noFill/>
                    <a:ln>
                      <a:noFill/>
                    </a:ln>
                    <a:effectLst/>
                    <a:extLst/>
                  </pic:spPr>
                </pic:pic>
              </a:graphicData>
            </a:graphic>
          </wp:inline>
        </w:drawing>
      </w:r>
      <w:r w:rsidRPr="009E79D3">
        <w:rPr>
          <w:noProof/>
          <w:sz w:val="22"/>
          <w:szCs w:val="22"/>
        </w:rPr>
        <w:t xml:space="preserve"> </w:t>
      </w:r>
      <w:r>
        <w:rPr>
          <w:noProof/>
          <w:sz w:val="22"/>
          <w:szCs w:val="22"/>
        </w:rPr>
        <w:t xml:space="preserve">      </w:t>
      </w:r>
      <w:r w:rsidRPr="009E79D3">
        <w:rPr>
          <w:rFonts w:ascii="Arial"/>
          <w:b/>
          <w:sz w:val="16"/>
        </w:rPr>
        <w:drawing>
          <wp:inline distT="0" distB="0" distL="0" distR="0" wp14:anchorId="6BE4FD37" wp14:editId="4AD32888">
            <wp:extent cx="1858061" cy="1328413"/>
            <wp:effectExtent l="0" t="0" r="0" b="5715"/>
            <wp:docPr id="700418" name="Picture 2" descr="D:\My_PhD_Work\KSMR_Serpent\Py_Nodal_Power_Plot\HFP_ARO_Comparison\3D_Compari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18" name="Picture 2" descr="D:\My_PhD_Work\KSMR_Serpent\Py_Nodal_Power_Plot\HFP_ARO_Comparison\3D_Comparison.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2436" t="51103"/>
                    <a:stretch/>
                  </pic:blipFill>
                  <pic:spPr bwMode="auto">
                    <a:xfrm>
                      <a:off x="0" y="0"/>
                      <a:ext cx="1880799" cy="1344670"/>
                    </a:xfrm>
                    <a:prstGeom prst="rect">
                      <a:avLst/>
                    </a:prstGeom>
                    <a:noFill/>
                    <a:ln>
                      <a:noFill/>
                    </a:ln>
                    <a:extLst>
                      <a:ext uri="{53640926-AAD7-44D8-BBD7-CCE9431645EC}">
                        <a14:shadowObscured xmlns:a14="http://schemas.microsoft.com/office/drawing/2010/main"/>
                      </a:ext>
                    </a:extLst>
                  </pic:spPr>
                </pic:pic>
              </a:graphicData>
            </a:graphic>
          </wp:inline>
        </w:drawing>
      </w:r>
    </w:p>
    <w:p w:rsidR="009E79D3" w:rsidRDefault="009E79D3">
      <w:pPr>
        <w:pStyle w:val="BodyText"/>
        <w:spacing w:before="2"/>
        <w:rPr>
          <w:rFonts w:ascii="Arial"/>
          <w:b/>
          <w:sz w:val="16"/>
        </w:rPr>
      </w:pPr>
    </w:p>
    <w:p w:rsidR="009E79D3" w:rsidRPr="009E79D3" w:rsidRDefault="009E79D3" w:rsidP="009E79D3">
      <w:pPr>
        <w:pStyle w:val="NormalWeb"/>
        <w:spacing w:before="0" w:beforeAutospacing="0" w:after="0" w:afterAutospacing="0"/>
        <w:textAlignment w:val="baseline"/>
        <w:rPr>
          <w:rFonts w:ascii="Tw Cen MT" w:eastAsia="Tw Cen MT" w:hAnsi="Tw Cen MT" w:cs="Tw Cen MT"/>
          <w:sz w:val="18"/>
          <w:szCs w:val="18"/>
        </w:rPr>
      </w:pPr>
      <w:r w:rsidRPr="009E79D3">
        <w:rPr>
          <w:rFonts w:ascii="Tw Cen MT" w:eastAsia="Tw Cen MT" w:hAnsi="Tw Cen MT" w:cs="Tw Cen MT"/>
          <w:sz w:val="18"/>
          <w:szCs w:val="18"/>
        </w:rPr>
        <w:t>Fig. 1: KSMR Core Configuration</w:t>
      </w:r>
      <w:r>
        <w:rPr>
          <w:rFonts w:ascii="Tw Cen MT" w:eastAsia="Tw Cen MT" w:hAnsi="Tw Cen MT" w:cs="Tw Cen MT"/>
          <w:sz w:val="18"/>
          <w:szCs w:val="18"/>
        </w:rPr>
        <w:t xml:space="preserve">         </w:t>
      </w:r>
      <w:r w:rsidRPr="009E79D3">
        <w:rPr>
          <w:rFonts w:ascii="Tw Cen MT" w:eastAsia="Tw Cen MT" w:hAnsi="Tw Cen MT" w:cs="Tw Cen MT"/>
          <w:sz w:val="18"/>
          <w:szCs w:val="18"/>
        </w:rPr>
        <w:t xml:space="preserve">Fig. </w:t>
      </w:r>
      <w:r>
        <w:rPr>
          <w:rFonts w:ascii="Tw Cen MT" w:eastAsia="Tw Cen MT" w:hAnsi="Tw Cen MT" w:cs="Tw Cen MT"/>
          <w:sz w:val="18"/>
          <w:szCs w:val="18"/>
        </w:rPr>
        <w:t>2</w:t>
      </w:r>
      <w:r w:rsidRPr="009E79D3">
        <w:rPr>
          <w:rFonts w:ascii="Tw Cen MT" w:eastAsia="Tw Cen MT" w:hAnsi="Tw Cen MT" w:cs="Tw Cen MT"/>
          <w:sz w:val="18"/>
          <w:szCs w:val="18"/>
        </w:rPr>
        <w:t xml:space="preserve">: KSMR </w:t>
      </w:r>
      <w:r>
        <w:rPr>
          <w:rFonts w:ascii="Tw Cen MT" w:eastAsia="Tw Cen MT" w:hAnsi="Tw Cen MT" w:cs="Tw Cen MT"/>
          <w:sz w:val="18"/>
          <w:szCs w:val="18"/>
        </w:rPr>
        <w:t>Power Peaking Factor</w:t>
      </w:r>
    </w:p>
    <w:p w:rsidR="009E79D3" w:rsidRDefault="009E79D3" w:rsidP="005973B9">
      <w:pPr>
        <w:spacing w:line="204" w:lineRule="exact"/>
        <w:rPr>
          <w:rFonts w:ascii="Arial"/>
          <w:b/>
          <w:color w:val="BF5A14"/>
          <w:sz w:val="20"/>
        </w:rPr>
      </w:pPr>
    </w:p>
    <w:p w:rsidR="009E79D3" w:rsidRDefault="009E79D3" w:rsidP="005973B9">
      <w:pPr>
        <w:spacing w:line="204" w:lineRule="exact"/>
        <w:rPr>
          <w:rFonts w:ascii="Arial"/>
          <w:b/>
          <w:color w:val="BF5A14"/>
          <w:sz w:val="20"/>
        </w:rPr>
      </w:pPr>
    </w:p>
    <w:p w:rsidR="005973B9" w:rsidRDefault="0023720F" w:rsidP="005973B9">
      <w:pPr>
        <w:spacing w:line="204" w:lineRule="exact"/>
        <w:rPr>
          <w:rFonts w:ascii="Arial"/>
          <w:b/>
          <w:sz w:val="20"/>
        </w:rPr>
      </w:pPr>
      <w:r>
        <w:rPr>
          <w:rFonts w:ascii="Arial"/>
          <w:b/>
          <w:color w:val="BF5A14"/>
          <w:sz w:val="20"/>
        </w:rPr>
        <w:t>Recent Publications</w:t>
      </w:r>
    </w:p>
    <w:p w:rsidR="005973B9" w:rsidRDefault="00C678F3" w:rsidP="00081005">
      <w:pPr>
        <w:pStyle w:val="ListParagraph"/>
        <w:numPr>
          <w:ilvl w:val="0"/>
          <w:numId w:val="3"/>
        </w:numPr>
        <w:tabs>
          <w:tab w:val="left" w:pos="384"/>
        </w:tabs>
        <w:spacing w:before="103" w:line="216" w:lineRule="exact"/>
        <w:ind w:right="138"/>
        <w:rPr>
          <w:sz w:val="18"/>
        </w:rPr>
      </w:pPr>
      <w:r>
        <w:rPr>
          <w:sz w:val="18"/>
        </w:rPr>
        <w:t xml:space="preserve">Y. Alzaben, V. </w:t>
      </w:r>
      <w:r w:rsidRPr="00C678F3">
        <w:rPr>
          <w:sz w:val="18"/>
        </w:rPr>
        <w:t>S</w:t>
      </w:r>
      <w:r>
        <w:rPr>
          <w:sz w:val="18"/>
        </w:rPr>
        <w:t xml:space="preserve">anchez, R.Stieglitz, “Extending </w:t>
      </w:r>
      <w:r w:rsidRPr="00C678F3">
        <w:rPr>
          <w:sz w:val="18"/>
        </w:rPr>
        <w:t>Serpent2/Subchanflow Coupling For Depletion Calculation - Current Status and Challenges”, In Proceeding of the PHYSOR 2018 conference, Cancun, Mexico, April 22-26, 2018.</w:t>
      </w:r>
    </w:p>
    <w:p w:rsidR="00081005" w:rsidRDefault="00081005" w:rsidP="00081005">
      <w:pPr>
        <w:pStyle w:val="ListParagraph"/>
        <w:numPr>
          <w:ilvl w:val="0"/>
          <w:numId w:val="3"/>
        </w:numPr>
        <w:tabs>
          <w:tab w:val="left" w:pos="384"/>
        </w:tabs>
        <w:spacing w:line="216" w:lineRule="exact"/>
        <w:ind w:right="138"/>
        <w:rPr>
          <w:sz w:val="18"/>
        </w:rPr>
      </w:pPr>
      <w:r w:rsidRPr="00081005">
        <w:rPr>
          <w:sz w:val="18"/>
        </w:rPr>
        <w:t>Y. Alzaben, C. Ziegahn, V. Sanchez, “Extension of Serpent2/Subchanflow Coupling For Hexagonal Fuel Assemblies”, In Proceeding of the PHYSOR 2018 conference, Cancun, Mexico, April 22-26, 2018.</w:t>
      </w:r>
    </w:p>
    <w:p w:rsidR="00081005" w:rsidRDefault="00C678F3" w:rsidP="00081005">
      <w:pPr>
        <w:pStyle w:val="ListParagraph"/>
        <w:numPr>
          <w:ilvl w:val="0"/>
          <w:numId w:val="3"/>
        </w:numPr>
        <w:tabs>
          <w:tab w:val="left" w:pos="384"/>
        </w:tabs>
        <w:spacing w:line="216" w:lineRule="exact"/>
        <w:ind w:right="137"/>
        <w:rPr>
          <w:sz w:val="18"/>
        </w:rPr>
      </w:pPr>
      <w:r w:rsidRPr="00C678F3">
        <w:rPr>
          <w:sz w:val="18"/>
        </w:rPr>
        <w:t>Y. Alzaben, V. Sanchez, R. Stieglitz; “Simulation of KSMR Core Zero Power Conditions Using The Monte Carlo Code Serpent”, 48th Annual Meeting on Nuclear Technology (AMNT 2017), Berlin, Germany, May 16-17, 2017</w:t>
      </w:r>
    </w:p>
    <w:p w:rsidR="00081005" w:rsidRDefault="00081005" w:rsidP="00081005">
      <w:pPr>
        <w:pStyle w:val="ListParagraph"/>
        <w:numPr>
          <w:ilvl w:val="0"/>
          <w:numId w:val="3"/>
        </w:numPr>
        <w:tabs>
          <w:tab w:val="left" w:pos="384"/>
        </w:tabs>
        <w:spacing w:line="216" w:lineRule="exact"/>
        <w:ind w:right="137"/>
        <w:rPr>
          <w:sz w:val="18"/>
        </w:rPr>
      </w:pPr>
      <w:r w:rsidRPr="00081005">
        <w:rPr>
          <w:sz w:val="18"/>
        </w:rPr>
        <w:t xml:space="preserve">Y. Alzaben, V. Sanchez, </w:t>
      </w:r>
      <w:proofErr w:type="gramStart"/>
      <w:r w:rsidRPr="00081005">
        <w:rPr>
          <w:sz w:val="18"/>
        </w:rPr>
        <w:t>R</w:t>
      </w:r>
      <w:proofErr w:type="gramEnd"/>
      <w:r w:rsidRPr="00081005">
        <w:rPr>
          <w:sz w:val="18"/>
        </w:rPr>
        <w:t>. Stieglitz; “Neutronics Safety-related Investigations of a Generic SMART Core with State-of-the-Art Tools”, NUTHOS-11: The 11th International Topical Meeting on Nuclear Reactor Thermal Hydraulics, Operation and Safety; Gyeongju, Korea, October 9-13, 2016.</w:t>
      </w:r>
    </w:p>
    <w:p w:rsidR="005973B9" w:rsidRPr="00081005" w:rsidRDefault="00081005" w:rsidP="00081005">
      <w:pPr>
        <w:pStyle w:val="ListParagraph"/>
        <w:numPr>
          <w:ilvl w:val="0"/>
          <w:numId w:val="3"/>
        </w:numPr>
        <w:tabs>
          <w:tab w:val="left" w:pos="384"/>
        </w:tabs>
        <w:spacing w:line="216" w:lineRule="exact"/>
        <w:ind w:right="137"/>
        <w:rPr>
          <w:sz w:val="18"/>
        </w:rPr>
      </w:pPr>
      <w:r w:rsidRPr="00081005">
        <w:rPr>
          <w:sz w:val="18"/>
        </w:rPr>
        <w:t>Y. Alzaben, V. Sanchez, R. Stieglitz; “On the Use of Serpent for SMR Modelling and Cross Section Generation”, 6th International Serpent User Group Meeting in Milano, Italy. September 26-29, 2016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7215C" w:rsidP="0027215C">
      <w:pPr>
        <w:spacing w:before="92"/>
        <w:ind w:right="4234"/>
        <w:rPr>
          <w:rFonts w:ascii="Arial"/>
        </w:rPr>
      </w:pPr>
      <w:r>
        <w:rPr>
          <w:noProof/>
        </w:rPr>
        <w:t xml:space="preserve">  </w:t>
      </w:r>
      <w:r w:rsidR="008756E6">
        <w:rPr>
          <w:noProof/>
        </w:rPr>
        <w:t xml:space="preserve"> </w:t>
      </w:r>
      <w:r w:rsidR="00081005">
        <w:rPr>
          <w:b/>
          <w:bCs/>
          <w:noProof/>
          <w:sz w:val="28"/>
          <w:szCs w:val="28"/>
        </w:rPr>
        <w:drawing>
          <wp:inline distT="0" distB="0" distL="0" distR="0" wp14:anchorId="70375015" wp14:editId="15083AC8">
            <wp:extent cx="566541" cy="731520"/>
            <wp:effectExtent l="0" t="0" r="5080" b="0"/>
            <wp:docPr id="2" name="Picture 2" descr="C:\Users\zn9363\My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n9363\My_Phot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5419" cy="730072"/>
                    </a:xfrm>
                    <a:prstGeom prst="rect">
                      <a:avLst/>
                    </a:prstGeom>
                    <a:noFill/>
                    <a:ln>
                      <a:noFill/>
                    </a:ln>
                  </pic:spPr>
                </pic:pic>
              </a:graphicData>
            </a:graphic>
          </wp:inline>
        </w:drawing>
      </w:r>
      <w:r>
        <w:rPr>
          <w:noProof/>
        </w:rPr>
        <w:t xml:space="preserve">  </w:t>
      </w:r>
      <w:r w:rsidR="00A9710C">
        <w:rPr>
          <w:rFonts w:ascii="Arial"/>
          <w:color w:val="BF5A14"/>
        </w:rPr>
        <w:t>Biography</w:t>
      </w:r>
    </w:p>
    <w:p w:rsidR="00081005" w:rsidRDefault="00081005">
      <w:pPr>
        <w:spacing w:before="41" w:line="154" w:lineRule="exact"/>
        <w:ind w:left="213" w:right="231"/>
        <w:jc w:val="both"/>
        <w:rPr>
          <w:rFonts w:ascii="Arial"/>
          <w:sz w:val="14"/>
        </w:rPr>
      </w:pPr>
    </w:p>
    <w:p w:rsidR="00AE3E37" w:rsidRDefault="00081005" w:rsidP="0027215C">
      <w:pPr>
        <w:spacing w:before="41" w:line="154" w:lineRule="exact"/>
        <w:ind w:left="213" w:right="231"/>
        <w:jc w:val="both"/>
        <w:rPr>
          <w:rFonts w:ascii="Arial"/>
          <w:sz w:val="14"/>
        </w:rPr>
      </w:pPr>
      <w:r>
        <w:rPr>
          <w:rFonts w:ascii="Arial"/>
          <w:sz w:val="14"/>
        </w:rPr>
        <w:t xml:space="preserve">Yousef Alzaben </w:t>
      </w:r>
      <w:r w:rsidR="00B8747B">
        <w:rPr>
          <w:rFonts w:ascii="Arial"/>
          <w:sz w:val="14"/>
        </w:rPr>
        <w:t xml:space="preserve">is a PhD student in his last year at </w:t>
      </w:r>
      <w:r w:rsidR="00B8747B" w:rsidRPr="00B8747B">
        <w:rPr>
          <w:rFonts w:ascii="Arial"/>
          <w:sz w:val="14"/>
        </w:rPr>
        <w:t>Karlsruhe Institute of Technology (KIT)</w:t>
      </w:r>
      <w:r w:rsidR="00B8747B">
        <w:rPr>
          <w:rFonts w:ascii="Arial"/>
          <w:sz w:val="14"/>
        </w:rPr>
        <w:t xml:space="preserve">. His PhD thesis is devoted to SMR </w:t>
      </w:r>
      <w:r w:rsidR="00C41C1B">
        <w:rPr>
          <w:rFonts w:ascii="Arial"/>
          <w:sz w:val="14"/>
        </w:rPr>
        <w:t>investigation from both neutronics and thermal-hydraulics aspects. Mr. Alzaben prior of joining KIT, he worked as a core neutronics engineer for the design of the 1</w:t>
      </w:r>
      <w:r w:rsidR="00C41C1B" w:rsidRPr="00C41C1B">
        <w:rPr>
          <w:rFonts w:ascii="Arial"/>
          <w:sz w:val="14"/>
          <w:vertAlign w:val="superscript"/>
        </w:rPr>
        <w:t>st</w:t>
      </w:r>
      <w:r w:rsidR="00C41C1B">
        <w:rPr>
          <w:rFonts w:ascii="Arial"/>
          <w:sz w:val="14"/>
        </w:rPr>
        <w:t xml:space="preserve"> Saudi-Arabian research reactor</w:t>
      </w:r>
      <w:r w:rsidR="0027215C">
        <w:rPr>
          <w:rFonts w:ascii="Arial"/>
          <w:sz w:val="14"/>
        </w:rPr>
        <w:t xml:space="preserve"> which was carried-out by INVAP company</w:t>
      </w:r>
      <w:r w:rsidR="00C41C1B">
        <w:rPr>
          <w:rFonts w:ascii="Arial"/>
          <w:sz w:val="14"/>
        </w:rPr>
        <w:t xml:space="preserve">. </w:t>
      </w:r>
      <w:r w:rsidR="0027215C">
        <w:rPr>
          <w:rFonts w:ascii="Arial"/>
          <w:sz w:val="14"/>
        </w:rPr>
        <w:t>In addition, he is holding a research associate position at K</w:t>
      </w:r>
      <w:r w:rsidR="0027215C" w:rsidRPr="0027215C">
        <w:rPr>
          <w:rFonts w:ascii="Arial"/>
          <w:sz w:val="14"/>
        </w:rPr>
        <w:t xml:space="preserve">ing </w:t>
      </w:r>
      <w:r w:rsidR="0027215C">
        <w:rPr>
          <w:rFonts w:ascii="Arial"/>
          <w:sz w:val="14"/>
        </w:rPr>
        <w:t>A</w:t>
      </w:r>
      <w:r w:rsidR="0027215C" w:rsidRPr="0027215C">
        <w:rPr>
          <w:rFonts w:ascii="Arial"/>
          <w:sz w:val="14"/>
        </w:rPr>
        <w:t xml:space="preserve">bdulaziz </w:t>
      </w:r>
      <w:r w:rsidR="0027215C">
        <w:rPr>
          <w:rFonts w:ascii="Arial"/>
          <w:sz w:val="14"/>
        </w:rPr>
        <w:t>C</w:t>
      </w:r>
      <w:r w:rsidR="0027215C" w:rsidRPr="0027215C">
        <w:rPr>
          <w:rFonts w:ascii="Arial"/>
          <w:sz w:val="14"/>
        </w:rPr>
        <w:t xml:space="preserve">ity for </w:t>
      </w:r>
      <w:r w:rsidR="0027215C">
        <w:rPr>
          <w:rFonts w:ascii="Arial"/>
          <w:sz w:val="14"/>
        </w:rPr>
        <w:t>S</w:t>
      </w:r>
      <w:r w:rsidR="0027215C" w:rsidRPr="0027215C">
        <w:rPr>
          <w:rFonts w:ascii="Arial"/>
          <w:sz w:val="14"/>
        </w:rPr>
        <w:t xml:space="preserve">cience and </w:t>
      </w:r>
      <w:r w:rsidR="0027215C">
        <w:rPr>
          <w:rFonts w:ascii="Arial"/>
          <w:sz w:val="14"/>
        </w:rPr>
        <w:t>T</w:t>
      </w:r>
      <w:r w:rsidR="0027215C" w:rsidRPr="0027215C">
        <w:rPr>
          <w:rFonts w:ascii="Arial"/>
          <w:sz w:val="14"/>
        </w:rPr>
        <w:t>echnology</w:t>
      </w:r>
      <w:r w:rsidR="0027215C">
        <w:rPr>
          <w:rFonts w:ascii="Arial"/>
          <w:sz w:val="14"/>
        </w:rPr>
        <w:t xml:space="preserve"> (KACST).</w:t>
      </w:r>
    </w:p>
    <w:p w:rsidR="0027215C" w:rsidRDefault="0027215C" w:rsidP="0027215C">
      <w:pPr>
        <w:spacing w:before="41" w:line="154" w:lineRule="exact"/>
        <w:ind w:left="213" w:right="231"/>
        <w:jc w:val="both"/>
        <w:rPr>
          <w:rFonts w:ascii="Arial"/>
          <w:sz w:val="14"/>
        </w:rPr>
      </w:pPr>
    </w:p>
    <w:p w:rsidR="00AE3E37" w:rsidRDefault="00A9710C" w:rsidP="00F815B5">
      <w:pPr>
        <w:spacing w:before="62"/>
        <w:ind w:left="4217" w:right="4235"/>
        <w:jc w:val="center"/>
        <w:rPr>
          <w:rFonts w:ascii="Arial"/>
          <w:sz w:val="19"/>
        </w:rPr>
      </w:pPr>
      <w:r>
        <w:rPr>
          <w:rFonts w:ascii="Arial"/>
          <w:sz w:val="14"/>
        </w:rPr>
        <w:t xml:space="preserve">Email: </w:t>
      </w:r>
      <w:hyperlink r:id="rId14" w:history="1">
        <w:r w:rsidR="00081005" w:rsidRPr="007A7B5E">
          <w:rPr>
            <w:rStyle w:val="Hyperlink"/>
            <w:rFonts w:ascii="Arial"/>
            <w:sz w:val="14"/>
          </w:rPr>
          <w:t>yousef.alzaben@kit.edu</w:t>
        </w:r>
      </w:hyperlink>
      <w:r w:rsidR="00081005">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02CF83FD" wp14:editId="6E07330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815B5" w:rsidRDefault="00F815B5" w:rsidP="00F815B5">
      <w:pPr>
        <w:spacing w:before="39"/>
        <w:ind w:left="100"/>
        <w:rPr>
          <w:rFonts w:ascii="Minion Pro"/>
          <w:b/>
          <w:sz w:val="20"/>
        </w:rPr>
      </w:pPr>
    </w:p>
    <w:p w:rsidR="00AE3E37" w:rsidRPr="00F815B5" w:rsidRDefault="00F815B5" w:rsidP="00F815B5">
      <w:pPr>
        <w:spacing w:before="39"/>
        <w:ind w:left="100"/>
        <w:rPr>
          <w:rFonts w:ascii="Minion Pro"/>
          <w:b/>
          <w:sz w:val="20"/>
        </w:rPr>
        <w:sectPr w:rsidR="00AE3E37" w:rsidRPr="00F815B5">
          <w:type w:val="continuous"/>
          <w:pgSz w:w="11910" w:h="16840"/>
          <w:pgMar w:top="1740" w:right="600" w:bottom="840" w:left="620" w:header="720" w:footer="720" w:gutter="0"/>
          <w:cols w:space="720"/>
        </w:sectPr>
      </w:pPr>
      <w:r>
        <w:rPr>
          <w:rFonts w:ascii="Minion Pro"/>
          <w:b/>
          <w:sz w:val="20"/>
        </w:rPr>
        <w:t>Notes/Comments:</w:t>
      </w:r>
    </w:p>
    <w:p w:rsidR="00AE3E37" w:rsidRDefault="00AE3E37" w:rsidP="00F815B5">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00C" w:rsidRDefault="00FD500C">
      <w:r>
        <w:separator/>
      </w:r>
    </w:p>
  </w:endnote>
  <w:endnote w:type="continuationSeparator" w:id="0">
    <w:p w:rsidR="00FD500C" w:rsidRDefault="00FD5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00C" w:rsidRDefault="00FD500C">
      <w:r>
        <w:separator/>
      </w:r>
    </w:p>
  </w:footnote>
  <w:footnote w:type="continuationSeparator" w:id="0">
    <w:p w:rsidR="00FD500C" w:rsidRDefault="00FD50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005"/>
    <w:rsid w:val="000E2911"/>
    <w:rsid w:val="001263DF"/>
    <w:rsid w:val="0023720F"/>
    <w:rsid w:val="002455EC"/>
    <w:rsid w:val="0027215C"/>
    <w:rsid w:val="00292ED9"/>
    <w:rsid w:val="003338A8"/>
    <w:rsid w:val="00404E5B"/>
    <w:rsid w:val="00414F7B"/>
    <w:rsid w:val="004355DC"/>
    <w:rsid w:val="004749B4"/>
    <w:rsid w:val="00494130"/>
    <w:rsid w:val="004F3523"/>
    <w:rsid w:val="005973B9"/>
    <w:rsid w:val="005B3A56"/>
    <w:rsid w:val="006060CE"/>
    <w:rsid w:val="0063497F"/>
    <w:rsid w:val="00744B9E"/>
    <w:rsid w:val="00873DF0"/>
    <w:rsid w:val="008756E6"/>
    <w:rsid w:val="008A08B6"/>
    <w:rsid w:val="009B2D44"/>
    <w:rsid w:val="009C0352"/>
    <w:rsid w:val="009E79D3"/>
    <w:rsid w:val="00A07E82"/>
    <w:rsid w:val="00A9710C"/>
    <w:rsid w:val="00AE3E37"/>
    <w:rsid w:val="00B21A57"/>
    <w:rsid w:val="00B8747B"/>
    <w:rsid w:val="00C33602"/>
    <w:rsid w:val="00C41C1B"/>
    <w:rsid w:val="00C678F3"/>
    <w:rsid w:val="00CD6F55"/>
    <w:rsid w:val="00DE3104"/>
    <w:rsid w:val="00E26B10"/>
    <w:rsid w:val="00F72EEA"/>
    <w:rsid w:val="00F815B5"/>
    <w:rsid w:val="00F84CAE"/>
    <w:rsid w:val="00FC55FC"/>
    <w:rsid w:val="00FD500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E79D3"/>
    <w:pPr>
      <w:widowControl/>
      <w:spacing w:before="100" w:beforeAutospacing="1" w:after="100" w:afterAutospacing="1"/>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E79D3"/>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yousef.alzaben@ki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999E8C71-CE7D-47D5-91AC-70440BE81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Alzaben, Yousef Ibrahim (INR)</cp:lastModifiedBy>
  <cp:revision>3</cp:revision>
  <dcterms:created xsi:type="dcterms:W3CDTF">2018-08-30T08:16:00Z</dcterms:created>
  <dcterms:modified xsi:type="dcterms:W3CDTF">2018-08-30T08:17:00Z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