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E43" w:rsidRPr="00201141" w:rsidRDefault="000F4E97">
      <w:pPr>
        <w:rPr>
          <w:b/>
          <w:sz w:val="32"/>
          <w:szCs w:val="32"/>
        </w:rPr>
      </w:pPr>
      <w:r w:rsidRPr="00201141">
        <w:rPr>
          <w:b/>
          <w:sz w:val="32"/>
          <w:szCs w:val="32"/>
        </w:rPr>
        <w:t xml:space="preserve">Reference Ranges of Standard Amino acids in Disease free </w:t>
      </w:r>
      <w:r w:rsidR="00C578F0">
        <w:rPr>
          <w:b/>
          <w:sz w:val="32"/>
          <w:szCs w:val="32"/>
        </w:rPr>
        <w:t>Neonat</w:t>
      </w:r>
      <w:r w:rsidR="00D235D7">
        <w:rPr>
          <w:b/>
          <w:sz w:val="32"/>
          <w:szCs w:val="32"/>
        </w:rPr>
        <w:t>al population of northern Pakistan.</w:t>
      </w:r>
    </w:p>
    <w:p w:rsidR="006E2E43" w:rsidRPr="00201141" w:rsidRDefault="000D24FF">
      <w:pPr>
        <w:rPr>
          <w:b/>
          <w:sz w:val="28"/>
          <w:szCs w:val="28"/>
        </w:rPr>
      </w:pPr>
      <w:proofErr w:type="spellStart"/>
      <w:r w:rsidRPr="00201141">
        <w:rPr>
          <w:b/>
          <w:sz w:val="28"/>
          <w:szCs w:val="28"/>
        </w:rPr>
        <w:t>Asif</w:t>
      </w:r>
      <w:proofErr w:type="spellEnd"/>
      <w:r w:rsidRPr="00201141">
        <w:rPr>
          <w:b/>
          <w:sz w:val="28"/>
          <w:szCs w:val="28"/>
        </w:rPr>
        <w:t xml:space="preserve"> Khan</w:t>
      </w:r>
    </w:p>
    <w:p w:rsidR="00201141" w:rsidRDefault="000D24FF">
      <w:pPr>
        <w:rPr>
          <w:b/>
        </w:rPr>
      </w:pPr>
      <w:r>
        <w:rPr>
          <w:b/>
        </w:rPr>
        <w:t>Email:k_asif74@yahoo.com</w:t>
      </w:r>
      <w:bookmarkStart w:id="0" w:name="_GoBack"/>
      <w:bookmarkEnd w:id="0"/>
    </w:p>
    <w:p w:rsidR="006E2E43" w:rsidRPr="00201141" w:rsidRDefault="000D24FF">
      <w:pPr>
        <w:rPr>
          <w:b/>
        </w:rPr>
      </w:pPr>
      <w:r>
        <w:rPr>
          <w:b/>
        </w:rPr>
        <w:t>Cell#03009756566</w:t>
      </w:r>
    </w:p>
    <w:p w:rsidR="008555EB" w:rsidRPr="00201141" w:rsidRDefault="003A2C35">
      <w:pPr>
        <w:rPr>
          <w:b/>
        </w:rPr>
      </w:pPr>
      <w:r w:rsidRPr="00201141">
        <w:rPr>
          <w:b/>
        </w:rPr>
        <w:t>ABSTRACT</w:t>
      </w:r>
    </w:p>
    <w:p w:rsidR="003A2C35" w:rsidRPr="00201141" w:rsidRDefault="003A2C35">
      <w:pPr>
        <w:rPr>
          <w:sz w:val="24"/>
          <w:szCs w:val="24"/>
        </w:rPr>
      </w:pPr>
      <w:r w:rsidRPr="00201141">
        <w:rPr>
          <w:b/>
        </w:rPr>
        <w:t>Objective:</w:t>
      </w:r>
      <w:r w:rsidRPr="00201141">
        <w:rPr>
          <w:sz w:val="24"/>
          <w:szCs w:val="24"/>
        </w:rPr>
        <w:t>To establish the reference ranges of standard amino acids in disease free neonatal population of northern Pakistan.</w:t>
      </w:r>
    </w:p>
    <w:p w:rsidR="003A2C35" w:rsidRDefault="00D202DA">
      <w:pPr>
        <w:rPr>
          <w:sz w:val="24"/>
          <w:szCs w:val="24"/>
        </w:rPr>
      </w:pPr>
      <w:r w:rsidRPr="00201141">
        <w:rPr>
          <w:b/>
          <w:sz w:val="24"/>
          <w:szCs w:val="24"/>
        </w:rPr>
        <w:t>Place and Duration of Study</w:t>
      </w:r>
      <w:proofErr w:type="gramStart"/>
      <w:r w:rsidR="00124DF2" w:rsidRPr="00201141">
        <w:rPr>
          <w:b/>
          <w:sz w:val="24"/>
          <w:szCs w:val="24"/>
        </w:rPr>
        <w:t>:</w:t>
      </w:r>
      <w:r w:rsidRPr="00201141">
        <w:rPr>
          <w:sz w:val="24"/>
          <w:szCs w:val="24"/>
        </w:rPr>
        <w:t>Study</w:t>
      </w:r>
      <w:proofErr w:type="gramEnd"/>
      <w:r w:rsidRPr="00201141">
        <w:rPr>
          <w:sz w:val="24"/>
          <w:szCs w:val="24"/>
        </w:rPr>
        <w:t xml:space="preserve"> was conducted in AFIP Rawalpindi from September 2015 to May 2016.</w:t>
      </w:r>
    </w:p>
    <w:p w:rsidR="00352058" w:rsidRPr="00201141" w:rsidRDefault="00352058">
      <w:pPr>
        <w:rPr>
          <w:sz w:val="24"/>
          <w:szCs w:val="24"/>
        </w:rPr>
      </w:pPr>
      <w:r w:rsidRPr="00201141">
        <w:rPr>
          <w:b/>
          <w:sz w:val="24"/>
          <w:szCs w:val="24"/>
        </w:rPr>
        <w:t>Key words:</w:t>
      </w:r>
      <w:r w:rsidRPr="00201141">
        <w:rPr>
          <w:sz w:val="24"/>
          <w:szCs w:val="24"/>
        </w:rPr>
        <w:t xml:space="preserve"> Reference ranges, Blood (Plasma), </w:t>
      </w:r>
      <w:proofErr w:type="spellStart"/>
      <w:r w:rsidRPr="00201141">
        <w:rPr>
          <w:sz w:val="24"/>
          <w:szCs w:val="24"/>
        </w:rPr>
        <w:t>Diseasefree</w:t>
      </w:r>
      <w:proofErr w:type="spellEnd"/>
      <w:r w:rsidRPr="00201141">
        <w:rPr>
          <w:sz w:val="24"/>
          <w:szCs w:val="24"/>
        </w:rPr>
        <w:t xml:space="preserve"> neonates, standard amino acids</w:t>
      </w:r>
    </w:p>
    <w:p w:rsidR="00102CD8" w:rsidRPr="00102CD8" w:rsidRDefault="003A2C35" w:rsidP="00102CD8">
      <w:pPr>
        <w:rPr>
          <w:sz w:val="24"/>
          <w:szCs w:val="24"/>
        </w:rPr>
      </w:pPr>
      <w:r w:rsidRPr="00201141">
        <w:rPr>
          <w:b/>
          <w:sz w:val="24"/>
          <w:szCs w:val="24"/>
        </w:rPr>
        <w:t>Material and Methods:</w:t>
      </w:r>
      <w:r w:rsidRPr="00201141">
        <w:rPr>
          <w:sz w:val="24"/>
          <w:szCs w:val="24"/>
        </w:rPr>
        <w:t xml:space="preserve"> </w:t>
      </w:r>
      <w:r w:rsidR="00102CD8" w:rsidRPr="00102CD8">
        <w:rPr>
          <w:sz w:val="24"/>
          <w:szCs w:val="24"/>
        </w:rPr>
        <w:t xml:space="preserve">This was a descriptive cross sectional study carried out at military setup. The sampling technique was non probability random convenient. The calculated sample size was 100 </w:t>
      </w:r>
      <w:r w:rsidR="00A22999">
        <w:rPr>
          <w:sz w:val="24"/>
          <w:szCs w:val="24"/>
        </w:rPr>
        <w:t>and the study was completed in 01</w:t>
      </w:r>
      <w:r w:rsidR="00102CD8" w:rsidRPr="00102CD8">
        <w:rPr>
          <w:sz w:val="24"/>
          <w:szCs w:val="24"/>
        </w:rPr>
        <w:t xml:space="preserve"> </w:t>
      </w:r>
      <w:r w:rsidR="00A22999">
        <w:rPr>
          <w:sz w:val="24"/>
          <w:szCs w:val="24"/>
        </w:rPr>
        <w:t>year after approval.</w:t>
      </w:r>
      <w:r w:rsidR="00102CD8" w:rsidRPr="00102CD8">
        <w:rPr>
          <w:sz w:val="24"/>
          <w:szCs w:val="24"/>
        </w:rPr>
        <w:t xml:space="preserve"> A total of 100 disease free neonates were included according to our inclusion criteria.  Neonates with neurodevelopmental delay, with previous history of inborn errors of metabolism, neonates showing failure to thrive and those receiving drugs like; paracetamol, valproate and antibiotics and subjects with increased ammonia, pyruvate and lactate levels were excluded from the study.2-3 ml</w:t>
      </w:r>
      <w:r w:rsidR="00A22999">
        <w:rPr>
          <w:sz w:val="24"/>
          <w:szCs w:val="24"/>
        </w:rPr>
        <w:t xml:space="preserve"> f</w:t>
      </w:r>
      <w:r w:rsidR="00102CD8" w:rsidRPr="00102CD8">
        <w:rPr>
          <w:sz w:val="24"/>
          <w:szCs w:val="24"/>
        </w:rPr>
        <w:t>resh blood sample were collected in 0.5ml lithium heparin containing tube. The sample was immedia</w:t>
      </w:r>
      <w:r w:rsidR="00C578F0">
        <w:rPr>
          <w:sz w:val="24"/>
          <w:szCs w:val="24"/>
        </w:rPr>
        <w:t xml:space="preserve">tely transported to laboratory on dry </w:t>
      </w:r>
      <w:proofErr w:type="spellStart"/>
      <w:r w:rsidR="00C578F0">
        <w:rPr>
          <w:sz w:val="24"/>
          <w:szCs w:val="24"/>
        </w:rPr>
        <w:t>ice,</w:t>
      </w:r>
      <w:r w:rsidR="00102CD8" w:rsidRPr="00102CD8">
        <w:rPr>
          <w:sz w:val="24"/>
          <w:szCs w:val="24"/>
        </w:rPr>
        <w:t>then</w:t>
      </w:r>
      <w:proofErr w:type="spellEnd"/>
      <w:r w:rsidR="00102CD8" w:rsidRPr="00102CD8">
        <w:rPr>
          <w:sz w:val="24"/>
          <w:szCs w:val="24"/>
        </w:rPr>
        <w:t xml:space="preserve"> it was centrifuged at 3500 rpm for 5 minutes.100 ul of plasma and 100 ul of sulfosalisylicacid(10%)</w:t>
      </w:r>
      <w:r w:rsidR="00C578F0">
        <w:rPr>
          <w:sz w:val="24"/>
          <w:szCs w:val="24"/>
        </w:rPr>
        <w:t xml:space="preserve"> </w:t>
      </w:r>
      <w:r w:rsidR="00102CD8" w:rsidRPr="00102CD8">
        <w:rPr>
          <w:sz w:val="24"/>
          <w:szCs w:val="24"/>
        </w:rPr>
        <w:t xml:space="preserve"> was mixed, then vortex  the mixture for 15 seconds an</w:t>
      </w:r>
      <w:r w:rsidR="00A22999">
        <w:rPr>
          <w:sz w:val="24"/>
          <w:szCs w:val="24"/>
        </w:rPr>
        <w:t xml:space="preserve">d placed at </w:t>
      </w:r>
      <w:r w:rsidR="00102CD8" w:rsidRPr="00102CD8">
        <w:rPr>
          <w:sz w:val="24"/>
          <w:szCs w:val="24"/>
        </w:rPr>
        <w:t>4c for 01 hour.</w:t>
      </w:r>
      <w:r w:rsidR="00A22999">
        <w:rPr>
          <w:sz w:val="24"/>
          <w:szCs w:val="24"/>
        </w:rPr>
        <w:t xml:space="preserve"> C</w:t>
      </w:r>
      <w:r w:rsidR="00102CD8" w:rsidRPr="00102CD8">
        <w:rPr>
          <w:sz w:val="24"/>
          <w:szCs w:val="24"/>
        </w:rPr>
        <w:t xml:space="preserve">entrifuge this mixture at 10000 rpm </w:t>
      </w:r>
      <w:proofErr w:type="gramStart"/>
      <w:r w:rsidR="00102CD8" w:rsidRPr="00102CD8">
        <w:rPr>
          <w:sz w:val="24"/>
          <w:szCs w:val="24"/>
        </w:rPr>
        <w:t xml:space="preserve">for 05 </w:t>
      </w:r>
      <w:r w:rsidR="00A22999" w:rsidRPr="00102CD8">
        <w:rPr>
          <w:sz w:val="24"/>
          <w:szCs w:val="24"/>
        </w:rPr>
        <w:t>minutes</w:t>
      </w:r>
      <w:r w:rsidR="00C578F0">
        <w:rPr>
          <w:sz w:val="24"/>
          <w:szCs w:val="24"/>
        </w:rPr>
        <w:t>.A</w:t>
      </w:r>
      <w:r w:rsidR="00A22999">
        <w:rPr>
          <w:sz w:val="24"/>
          <w:szCs w:val="24"/>
        </w:rPr>
        <w:t xml:space="preserve"> </w:t>
      </w:r>
      <w:r w:rsidR="00102CD8" w:rsidRPr="00102CD8">
        <w:rPr>
          <w:sz w:val="24"/>
          <w:szCs w:val="24"/>
        </w:rPr>
        <w:t xml:space="preserve">clear supernatant was obtained which was then filtered by 0.2 micron into a </w:t>
      </w:r>
      <w:r w:rsidR="00A22999" w:rsidRPr="00102CD8">
        <w:rPr>
          <w:sz w:val="24"/>
          <w:szCs w:val="24"/>
        </w:rPr>
        <w:t>G.C vial</w:t>
      </w:r>
      <w:proofErr w:type="gramEnd"/>
      <w:r w:rsidR="00102CD8" w:rsidRPr="00102CD8">
        <w:rPr>
          <w:sz w:val="24"/>
          <w:szCs w:val="24"/>
        </w:rPr>
        <w:t xml:space="preserve">. then the sample was loaded onto the amino acid analyzer for quantitative determination of amino acids. Next step to the sample preparation is the amino acids analysis which was carried out by a dedicated high performance liquid chromatography amino acid analyzer (Biochrom 30+ AAA uk).in this instrument the mixture of buffer containing Lithium citrate when loaded to the sample containing mixture of amino acids will be eluted in the cation exchange resin followed by a reaction with ninhydrin reagent (derivatizing agent),a purple and yellow color complex is formed which is detected by 440nm and 570nm </w:t>
      </w:r>
      <w:r w:rsidR="00A22999" w:rsidRPr="00102CD8">
        <w:rPr>
          <w:sz w:val="24"/>
          <w:szCs w:val="24"/>
        </w:rPr>
        <w:t>wavelength. Amino</w:t>
      </w:r>
      <w:r w:rsidR="00102CD8" w:rsidRPr="00102CD8">
        <w:rPr>
          <w:sz w:val="24"/>
          <w:szCs w:val="24"/>
        </w:rPr>
        <w:t xml:space="preserve"> acids which contains secondary immino group like proline and hydroxyprolin is detected at 440nm and rest of the amino acids are detected at 570 nm wv.How sample is collected and analyzed and data analysis by spss.</w:t>
      </w:r>
    </w:p>
    <w:p w:rsidR="001D62BF" w:rsidRPr="00201141" w:rsidRDefault="001D62BF">
      <w:pPr>
        <w:rPr>
          <w:sz w:val="24"/>
          <w:szCs w:val="24"/>
        </w:rPr>
      </w:pPr>
    </w:p>
    <w:p w:rsidR="001D62BF" w:rsidRPr="00201141" w:rsidRDefault="00D202DA" w:rsidP="000D24FF">
      <w:pPr>
        <w:jc w:val="both"/>
        <w:rPr>
          <w:sz w:val="24"/>
          <w:szCs w:val="24"/>
        </w:rPr>
      </w:pPr>
      <w:r w:rsidRPr="00201141">
        <w:rPr>
          <w:b/>
          <w:sz w:val="24"/>
          <w:szCs w:val="24"/>
        </w:rPr>
        <w:t>Results:</w:t>
      </w:r>
      <w:r w:rsidRPr="00201141">
        <w:rPr>
          <w:sz w:val="24"/>
          <w:szCs w:val="24"/>
        </w:rPr>
        <w:t xml:space="preserve">  Of the 100 neonates meeting the inclusive criteria 53(35%) were male and the remaining 47(47%) females. </w:t>
      </w:r>
      <w:r w:rsidR="000D24FF" w:rsidRPr="00201141">
        <w:rPr>
          <w:sz w:val="24"/>
          <w:szCs w:val="24"/>
        </w:rPr>
        <w:t>Results show</w:t>
      </w:r>
      <w:r w:rsidR="001D62BF" w:rsidRPr="00201141">
        <w:rPr>
          <w:sz w:val="24"/>
          <w:szCs w:val="24"/>
        </w:rPr>
        <w:t xml:space="preserve"> most of the amino acids below the reference ranges provided by the manufacturer of the instrument.</w:t>
      </w:r>
    </w:p>
    <w:p w:rsidR="001D62BF" w:rsidRPr="00201141" w:rsidRDefault="001D62BF" w:rsidP="00201141">
      <w:pPr>
        <w:jc w:val="both"/>
        <w:rPr>
          <w:sz w:val="24"/>
          <w:szCs w:val="24"/>
        </w:rPr>
      </w:pPr>
      <w:r w:rsidRPr="00201141">
        <w:rPr>
          <w:b/>
          <w:sz w:val="24"/>
          <w:szCs w:val="24"/>
        </w:rPr>
        <w:t>Conclusion</w:t>
      </w:r>
      <w:r w:rsidR="00A22999" w:rsidRPr="00201141">
        <w:rPr>
          <w:b/>
          <w:sz w:val="24"/>
          <w:szCs w:val="24"/>
        </w:rPr>
        <w:t>:</w:t>
      </w:r>
      <w:r w:rsidR="00A22999" w:rsidRPr="00201141">
        <w:rPr>
          <w:sz w:val="24"/>
          <w:szCs w:val="24"/>
        </w:rPr>
        <w:t xml:space="preserve"> In</w:t>
      </w:r>
      <w:r w:rsidR="000F4E97" w:rsidRPr="00201141">
        <w:rPr>
          <w:sz w:val="24"/>
          <w:szCs w:val="24"/>
        </w:rPr>
        <w:t xml:space="preserve"> conclusion, we became able to establish reference ranges of plasma </w:t>
      </w:r>
      <w:r w:rsidR="000D24FF" w:rsidRPr="00201141">
        <w:rPr>
          <w:sz w:val="24"/>
          <w:szCs w:val="24"/>
        </w:rPr>
        <w:t>standard amino</w:t>
      </w:r>
      <w:r w:rsidR="000F4E97" w:rsidRPr="00201141">
        <w:rPr>
          <w:sz w:val="24"/>
          <w:szCs w:val="24"/>
        </w:rPr>
        <w:t xml:space="preserve"> acids in healthy neonates wi</w:t>
      </w:r>
      <w:r w:rsidR="000D24FF" w:rsidRPr="00201141">
        <w:rPr>
          <w:sz w:val="24"/>
          <w:szCs w:val="24"/>
        </w:rPr>
        <w:t>th IEC by ninhydrin</w:t>
      </w:r>
      <w:r w:rsidR="00A22999">
        <w:rPr>
          <w:sz w:val="24"/>
          <w:szCs w:val="24"/>
        </w:rPr>
        <w:t xml:space="preserve"> </w:t>
      </w:r>
      <w:r w:rsidR="000D24FF" w:rsidRPr="00201141">
        <w:rPr>
          <w:sz w:val="24"/>
          <w:szCs w:val="24"/>
        </w:rPr>
        <w:t>postcolumn</w:t>
      </w:r>
      <w:r w:rsidR="00A22999">
        <w:rPr>
          <w:sz w:val="24"/>
          <w:szCs w:val="24"/>
        </w:rPr>
        <w:t xml:space="preserve"> </w:t>
      </w:r>
      <w:r w:rsidR="000F4E97" w:rsidRPr="00201141">
        <w:rPr>
          <w:sz w:val="24"/>
          <w:szCs w:val="24"/>
        </w:rPr>
        <w:t xml:space="preserve">derivatization. </w:t>
      </w:r>
      <w:r w:rsidR="00A22999" w:rsidRPr="00201141">
        <w:rPr>
          <w:sz w:val="24"/>
          <w:szCs w:val="24"/>
        </w:rPr>
        <w:t>The</w:t>
      </w:r>
      <w:r w:rsidR="000F4E97" w:rsidRPr="00201141">
        <w:rPr>
          <w:sz w:val="24"/>
          <w:szCs w:val="24"/>
        </w:rPr>
        <w:t xml:space="preserve"> reference intervals derived in the present study may be useful when applied to the diagnosis and monitoring of therapy in patients with a particular metabolic disease in neonatal population</w:t>
      </w:r>
      <w:r w:rsidR="00201141">
        <w:rPr>
          <w:sz w:val="24"/>
          <w:szCs w:val="24"/>
        </w:rPr>
        <w:t xml:space="preserve">. There are some pre analytical </w:t>
      </w:r>
      <w:r w:rsidR="000F4E97" w:rsidRPr="00201141">
        <w:rPr>
          <w:sz w:val="24"/>
          <w:szCs w:val="24"/>
        </w:rPr>
        <w:t>variables that affect the plasma amino acids analysis like</w:t>
      </w:r>
      <w:r w:rsidR="00A22999" w:rsidRPr="00201141">
        <w:rPr>
          <w:sz w:val="24"/>
          <w:szCs w:val="24"/>
        </w:rPr>
        <w:t>: Hemolysis, Icterus, Buffy</w:t>
      </w:r>
      <w:r w:rsidR="000F4E97" w:rsidRPr="00201141">
        <w:rPr>
          <w:sz w:val="24"/>
          <w:szCs w:val="24"/>
        </w:rPr>
        <w:t xml:space="preserve"> coat contamination and delayed transportation.They interfere with the quantification of amino acids by ion exchange chromatography.</w:t>
      </w:r>
    </w:p>
    <w:p w:rsidR="006E2E43" w:rsidRDefault="006E2E43"/>
    <w:p w:rsidR="006E2E43" w:rsidRDefault="006E2E43"/>
    <w:p w:rsidR="006E2E43" w:rsidRDefault="006E2E43"/>
    <w:tbl>
      <w:tblPr>
        <w:tblStyle w:val="TableGrid"/>
        <w:tblW w:w="0" w:type="auto"/>
        <w:tblInd w:w="1368" w:type="dxa"/>
        <w:tblLook w:val="04A0" w:firstRow="1" w:lastRow="0" w:firstColumn="1" w:lastColumn="0" w:noHBand="0" w:noVBand="1"/>
      </w:tblPr>
      <w:tblGrid>
        <w:gridCol w:w="2637"/>
        <w:gridCol w:w="2403"/>
      </w:tblGrid>
      <w:tr w:rsidR="00A22999" w:rsidTr="00B4092C">
        <w:tc>
          <w:tcPr>
            <w:tcW w:w="2637" w:type="dxa"/>
          </w:tcPr>
          <w:p w:rsidR="00A22999" w:rsidRDefault="00A22999" w:rsidP="00B4092C">
            <w:r>
              <w:t>Name of Amino acids</w:t>
            </w:r>
          </w:p>
        </w:tc>
        <w:tc>
          <w:tcPr>
            <w:tcW w:w="2403" w:type="dxa"/>
          </w:tcPr>
          <w:p w:rsidR="00A22999" w:rsidRDefault="00A22999" w:rsidP="00B4092C">
            <w:r>
              <w:t>Reference  ranges of Amino acids(AFIP)</w:t>
            </w:r>
          </w:p>
        </w:tc>
      </w:tr>
      <w:tr w:rsidR="00A22999" w:rsidTr="00B4092C">
        <w:tc>
          <w:tcPr>
            <w:tcW w:w="2637" w:type="dxa"/>
          </w:tcPr>
          <w:p w:rsidR="00A22999" w:rsidRDefault="00A22999" w:rsidP="00B4092C">
            <w:pPr>
              <w:tabs>
                <w:tab w:val="left" w:pos="1260"/>
              </w:tabs>
              <w:spacing w:line="360" w:lineRule="auto"/>
              <w:rPr>
                <w:rFonts w:asciiTheme="majorBidi" w:hAnsiTheme="majorBidi" w:cstheme="majorBidi"/>
                <w:sz w:val="24"/>
                <w:szCs w:val="24"/>
              </w:rPr>
            </w:pPr>
            <w:r w:rsidRPr="00923D21">
              <w:rPr>
                <w:rFonts w:asciiTheme="majorBidi" w:eastAsia="Times New Roman" w:hAnsiTheme="majorBidi" w:cstheme="majorBidi"/>
                <w:color w:val="000000"/>
                <w:sz w:val="24"/>
                <w:szCs w:val="24"/>
              </w:rPr>
              <w:t>Alanine</w:t>
            </w:r>
          </w:p>
        </w:tc>
        <w:tc>
          <w:tcPr>
            <w:tcW w:w="2403" w:type="dxa"/>
          </w:tcPr>
          <w:p w:rsidR="00A22999" w:rsidRPr="00B12344" w:rsidRDefault="00A22999" w:rsidP="00B4092C">
            <w:pPr>
              <w:tabs>
                <w:tab w:val="left" w:pos="1260"/>
              </w:tabs>
              <w:spacing w:line="360" w:lineRule="auto"/>
              <w:jc w:val="center"/>
              <w:rPr>
                <w:rFonts w:asciiTheme="majorBidi" w:hAnsiTheme="majorBidi" w:cstheme="majorBidi"/>
                <w:sz w:val="24"/>
                <w:szCs w:val="24"/>
              </w:rPr>
            </w:pPr>
            <w:r w:rsidRPr="00B12344">
              <w:rPr>
                <w:rFonts w:asciiTheme="majorBidi" w:eastAsia="Times New Roman" w:hAnsiTheme="majorBidi" w:cstheme="majorBidi"/>
                <w:color w:val="000000"/>
                <w:sz w:val="24"/>
                <w:szCs w:val="24"/>
              </w:rPr>
              <w:t>1- 522</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Arginine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 – 135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Asparagine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29</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115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Aspartic acid</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38</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Citruline</w:t>
            </w:r>
            <w:proofErr w:type="spellEnd"/>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39</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Cystine</w:t>
            </w:r>
            <w:proofErr w:type="spellEnd"/>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2- 45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Glutamic acid</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11</w:t>
            </w:r>
            <w:r w:rsidRPr="00B12344">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211</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Glutamine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405</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785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Glycine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148</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484</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Histidine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35</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79</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Ileucine</w:t>
            </w:r>
            <w:proofErr w:type="spellEnd"/>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8</w:t>
            </w:r>
            <w:r>
              <w:rPr>
                <w:rFonts w:asciiTheme="majorBidi" w:eastAsia="Times New Roman" w:hAnsiTheme="majorBidi" w:cstheme="majorBidi"/>
                <w:color w:val="000000"/>
                <w:sz w:val="24"/>
                <w:szCs w:val="24"/>
              </w:rPr>
              <w:t>-68</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Leucine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 xml:space="preserve">40 - </w:t>
            </w:r>
            <w:r>
              <w:rPr>
                <w:rFonts w:asciiTheme="majorBidi" w:eastAsia="Times New Roman" w:hAnsiTheme="majorBidi" w:cstheme="majorBidi"/>
                <w:color w:val="000000"/>
                <w:sz w:val="24"/>
                <w:szCs w:val="24"/>
              </w:rPr>
              <w:t>140</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Lysine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60</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189</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Methionine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 xml:space="preserve">5- </w:t>
            </w:r>
            <w:r>
              <w:rPr>
                <w:rFonts w:asciiTheme="majorBidi" w:eastAsia="Times New Roman" w:hAnsiTheme="majorBidi" w:cstheme="majorBidi"/>
                <w:color w:val="000000"/>
                <w:sz w:val="24"/>
                <w:szCs w:val="24"/>
              </w:rPr>
              <w:t>55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Ornithine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35</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123</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lastRenderedPageBreak/>
              <w:t>Phenylalanine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 xml:space="preserve">19- </w:t>
            </w:r>
            <w:r>
              <w:rPr>
                <w:rFonts w:asciiTheme="majorBidi" w:eastAsia="Times New Roman" w:hAnsiTheme="majorBidi" w:cstheme="majorBidi"/>
                <w:color w:val="000000"/>
                <w:sz w:val="24"/>
                <w:szCs w:val="24"/>
              </w:rPr>
              <w:t>108</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Proline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92</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241</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Serine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88</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170</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proofErr w:type="spellStart"/>
            <w:r w:rsidRPr="00923D21">
              <w:rPr>
                <w:rFonts w:asciiTheme="majorBidi" w:eastAsia="Times New Roman" w:hAnsiTheme="majorBidi" w:cstheme="majorBidi"/>
                <w:color w:val="000000"/>
                <w:sz w:val="24"/>
                <w:szCs w:val="24"/>
              </w:rPr>
              <w:t>Taurine</w:t>
            </w:r>
            <w:proofErr w:type="spellEnd"/>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7</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161</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Threonine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40</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215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Tryptophan</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1</w:t>
            </w:r>
            <w:r>
              <w:rPr>
                <w:rFonts w:asciiTheme="majorBidi" w:eastAsia="Times New Roman" w:hAnsiTheme="majorBidi" w:cstheme="majorBidi"/>
                <w:color w:val="000000"/>
                <w:sz w:val="24"/>
                <w:szCs w:val="24"/>
              </w:rPr>
              <w:t>8</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71</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Tyrosine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sidRPr="00B12344">
              <w:rPr>
                <w:rFonts w:asciiTheme="majorBidi" w:eastAsia="Times New Roman" w:hAnsiTheme="majorBidi" w:cstheme="majorBidi"/>
                <w:color w:val="000000"/>
                <w:sz w:val="24"/>
                <w:szCs w:val="24"/>
              </w:rPr>
              <w:t xml:space="preserve">13- </w:t>
            </w:r>
            <w:r>
              <w:rPr>
                <w:rFonts w:asciiTheme="majorBidi" w:eastAsia="Times New Roman" w:hAnsiTheme="majorBidi" w:cstheme="majorBidi"/>
                <w:color w:val="000000"/>
                <w:sz w:val="24"/>
                <w:szCs w:val="24"/>
              </w:rPr>
              <w:t>95</w:t>
            </w:r>
          </w:p>
        </w:tc>
      </w:tr>
      <w:tr w:rsidR="00A22999" w:rsidTr="00B4092C">
        <w:tc>
          <w:tcPr>
            <w:tcW w:w="2637" w:type="dxa"/>
          </w:tcPr>
          <w:p w:rsidR="00A22999" w:rsidRPr="00923D21" w:rsidRDefault="00A22999" w:rsidP="00B4092C">
            <w:pPr>
              <w:tabs>
                <w:tab w:val="left" w:pos="1260"/>
              </w:tabs>
              <w:spacing w:line="360" w:lineRule="auto"/>
              <w:rPr>
                <w:rFonts w:asciiTheme="majorBidi" w:eastAsia="Times New Roman" w:hAnsiTheme="majorBidi" w:cstheme="majorBidi"/>
                <w:color w:val="000000"/>
                <w:sz w:val="24"/>
                <w:szCs w:val="24"/>
              </w:rPr>
            </w:pPr>
            <w:r w:rsidRPr="00923D21">
              <w:rPr>
                <w:rFonts w:asciiTheme="majorBidi" w:eastAsia="Times New Roman" w:hAnsiTheme="majorBidi" w:cstheme="majorBidi"/>
                <w:color w:val="000000"/>
                <w:sz w:val="24"/>
                <w:szCs w:val="24"/>
              </w:rPr>
              <w:t>Valine</w:t>
            </w:r>
          </w:p>
        </w:tc>
        <w:tc>
          <w:tcPr>
            <w:tcW w:w="2403" w:type="dxa"/>
          </w:tcPr>
          <w:p w:rsidR="00A22999" w:rsidRPr="00B12344" w:rsidRDefault="00A22999" w:rsidP="00B4092C">
            <w:pPr>
              <w:tabs>
                <w:tab w:val="left" w:pos="1260"/>
              </w:tabs>
              <w:spacing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75</w:t>
            </w:r>
            <w:r w:rsidRPr="00B12344">
              <w:rPr>
                <w:rFonts w:asciiTheme="majorBidi" w:eastAsia="Times New Roman" w:hAnsiTheme="majorBidi" w:cstheme="majorBidi"/>
                <w:color w:val="000000"/>
                <w:sz w:val="24"/>
                <w:szCs w:val="24"/>
              </w:rPr>
              <w:t xml:space="preserve"> - </w:t>
            </w:r>
            <w:r>
              <w:rPr>
                <w:rFonts w:asciiTheme="majorBidi" w:eastAsia="Times New Roman" w:hAnsiTheme="majorBidi" w:cstheme="majorBidi"/>
                <w:color w:val="000000"/>
                <w:sz w:val="24"/>
                <w:szCs w:val="24"/>
              </w:rPr>
              <w:t>211</w:t>
            </w:r>
          </w:p>
        </w:tc>
      </w:tr>
    </w:tbl>
    <w:p w:rsidR="006E2E43" w:rsidRPr="00B7686D" w:rsidRDefault="006E2E43">
      <w:pPr>
        <w:rPr>
          <w:rFonts w:ascii="Arial" w:hAnsi="Arial" w:cs="Arial"/>
        </w:rPr>
      </w:pPr>
    </w:p>
    <w:sectPr w:rsidR="006E2E43" w:rsidRPr="00B7686D" w:rsidSect="00FB2F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C35"/>
    <w:rsid w:val="00026452"/>
    <w:rsid w:val="0006029A"/>
    <w:rsid w:val="00077EEA"/>
    <w:rsid w:val="000963EB"/>
    <w:rsid w:val="000A3303"/>
    <w:rsid w:val="000D24FF"/>
    <w:rsid w:val="000F4E97"/>
    <w:rsid w:val="00102CD8"/>
    <w:rsid w:val="00124DF2"/>
    <w:rsid w:val="00134C68"/>
    <w:rsid w:val="001353A3"/>
    <w:rsid w:val="00141AE8"/>
    <w:rsid w:val="001602D0"/>
    <w:rsid w:val="00187AC7"/>
    <w:rsid w:val="001C3A7F"/>
    <w:rsid w:val="001D62BF"/>
    <w:rsid w:val="00201141"/>
    <w:rsid w:val="00283F99"/>
    <w:rsid w:val="00352058"/>
    <w:rsid w:val="003A2C35"/>
    <w:rsid w:val="003D2135"/>
    <w:rsid w:val="00412F35"/>
    <w:rsid w:val="004536E5"/>
    <w:rsid w:val="004908AE"/>
    <w:rsid w:val="005213F6"/>
    <w:rsid w:val="00552FC1"/>
    <w:rsid w:val="0058671F"/>
    <w:rsid w:val="00587C98"/>
    <w:rsid w:val="006158EC"/>
    <w:rsid w:val="0065480C"/>
    <w:rsid w:val="00674864"/>
    <w:rsid w:val="00691353"/>
    <w:rsid w:val="006A03D1"/>
    <w:rsid w:val="006E2E43"/>
    <w:rsid w:val="0070430D"/>
    <w:rsid w:val="00774B64"/>
    <w:rsid w:val="007B73CE"/>
    <w:rsid w:val="007C5380"/>
    <w:rsid w:val="008555EB"/>
    <w:rsid w:val="008A4C28"/>
    <w:rsid w:val="00960DCE"/>
    <w:rsid w:val="009A3ADB"/>
    <w:rsid w:val="009A3D08"/>
    <w:rsid w:val="009F644A"/>
    <w:rsid w:val="00A15083"/>
    <w:rsid w:val="00A22999"/>
    <w:rsid w:val="00AC2266"/>
    <w:rsid w:val="00B51926"/>
    <w:rsid w:val="00B7686D"/>
    <w:rsid w:val="00C578F0"/>
    <w:rsid w:val="00D202DA"/>
    <w:rsid w:val="00D235D7"/>
    <w:rsid w:val="00D23F79"/>
    <w:rsid w:val="00D55B27"/>
    <w:rsid w:val="00D93AB1"/>
    <w:rsid w:val="00DD4AC3"/>
    <w:rsid w:val="00DF5B92"/>
    <w:rsid w:val="00E20A4A"/>
    <w:rsid w:val="00F01619"/>
    <w:rsid w:val="00F6565E"/>
    <w:rsid w:val="00F7323F"/>
    <w:rsid w:val="00F96206"/>
    <w:rsid w:val="00FB1F70"/>
    <w:rsid w:val="00FB2FA0"/>
    <w:rsid w:val="00FD4308"/>
    <w:rsid w:val="00FD78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2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06029A"/>
    <w:rPr>
      <w:rFonts w:eastAsiaTheme="minorEastAsia"/>
    </w:rPr>
  </w:style>
  <w:style w:type="paragraph" w:styleId="NormalWeb">
    <w:name w:val="Normal (Web)"/>
    <w:basedOn w:val="Normal"/>
    <w:uiPriority w:val="99"/>
    <w:unhideWhenUsed/>
    <w:rsid w:val="00060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6029A"/>
  </w:style>
  <w:style w:type="paragraph" w:styleId="NoSpacing">
    <w:name w:val="No Spacing"/>
    <w:uiPriority w:val="1"/>
    <w:qFormat/>
    <w:rsid w:val="00D93AB1"/>
    <w:pPr>
      <w:spacing w:after="0" w:line="240" w:lineRule="auto"/>
    </w:pPr>
  </w:style>
  <w:style w:type="character" w:customStyle="1" w:styleId="Heading1Char">
    <w:name w:val="Heading 1 Char"/>
    <w:basedOn w:val="DefaultParagraphFont"/>
    <w:link w:val="Heading1"/>
    <w:uiPriority w:val="9"/>
    <w:rsid w:val="00D93AB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2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06029A"/>
    <w:rPr>
      <w:rFonts w:eastAsiaTheme="minorEastAsia"/>
    </w:rPr>
  </w:style>
  <w:style w:type="paragraph" w:styleId="NormalWeb">
    <w:name w:val="Normal (Web)"/>
    <w:basedOn w:val="Normal"/>
    <w:uiPriority w:val="99"/>
    <w:unhideWhenUsed/>
    <w:rsid w:val="00060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6029A"/>
  </w:style>
  <w:style w:type="paragraph" w:styleId="NoSpacing">
    <w:name w:val="No Spacing"/>
    <w:uiPriority w:val="1"/>
    <w:qFormat/>
    <w:rsid w:val="00D93AB1"/>
    <w:pPr>
      <w:spacing w:after="0" w:line="240" w:lineRule="auto"/>
    </w:pPr>
  </w:style>
  <w:style w:type="character" w:customStyle="1" w:styleId="Heading1Char">
    <w:name w:val="Heading 1 Char"/>
    <w:basedOn w:val="DefaultParagraphFont"/>
    <w:link w:val="Heading1"/>
    <w:uiPriority w:val="9"/>
    <w:rsid w:val="00D93AB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alM13</b:Tag>
    <b:SourceType>JournalArticle</b:SourceType>
    <b:Guid>{9E420BD5-8C79-4DCE-B61D-69AD1165B0A3}</b:Guid>
    <b:Title>Reference values for plasma amino acids</b:Title>
    <b:Year>2013</b:Year>
    <b:Author>
      <b:Author>
        <b:NameList>
          <b:Person>
            <b:Last>al.:</b:Last>
            <b:First>Mendez</b:First>
            <b:Middle>et</b:Middle>
          </b:Person>
        </b:NameList>
      </b:Author>
    </b:Author>
    <b:JournalName>DE GRUYTER</b:JournalName>
    <b:Pages>1-9</b:Pages>
    <b:RefOrder>9</b:RefOrder>
  </b:Source>
  <b:Source>
    <b:Tag>Her93</b:Tag>
    <b:SourceType>JournalArticle</b:SourceType>
    <b:Guid>{10DB9B76-DD2F-4140-B48C-1CEF452C9387}</b:Guid>
    <b:Author>
      <b:Author>
        <b:NameList>
          <b:Person>
            <b:Last>Hertz DE</b:Last>
            <b:First>Karn</b:First>
            <b:Middle>CA,Liu YM, Liechty EA, Denne SC</b:Middle>
          </b:Person>
        </b:NameList>
      </b:Author>
    </b:Author>
    <b:Title>Intravenous glucose suppresses glucose production but not proteolysis in extremely premature newborns</b:Title>
    <b:JournalName>J Clin Invest</b:JournalName>
    <b:Year>1993</b:Year>
    <b:Pages>1752-1758</b:Pages>
    <b:RefOrder>15</b:RefOrder>
  </b:Source>
  <b:Source>
    <b:Tag>Her931</b:Tag>
    <b:SourceType>JournalArticle</b:SourceType>
    <b:Guid>{20F5CC71-E00A-4316-9C53-0A1904782F96}</b:Guid>
    <b:Author>
      <b:Author>
        <b:NameList>
          <b:Person>
            <b:Last>al.</b:Last>
            <b:First>Hertz</b:First>
            <b:Middle>et</b:Middle>
          </b:Person>
        </b:NameList>
      </b:Author>
    </b:Author>
    <b:Title>Intravenous glucose suppresses glucose production but not proteolysis in extremely premature newborns</b:Title>
    <b:JournalName>J Clin Invest</b:JournalName>
    <b:Year>1993</b:Year>
    <b:Pages>1752-1758</b:Pages>
    <b:RefOrder>16</b:RefOrder>
  </b:Source>
  <b:Source>
    <b:Tag>Her932</b:Tag>
    <b:SourceType>JournalArticle</b:SourceType>
    <b:Guid>{CE2AF220-BD9E-4B29-9B2A-F61D93C09AB8}</b:Guid>
    <b:Author>
      <b:Author>
        <b:NameList>
          <b:Person>
            <b:Last>al.:</b:Last>
            <b:First>Hertz</b:First>
            <b:Middle>DE et</b:Middle>
          </b:Person>
        </b:NameList>
      </b:Author>
    </b:Author>
    <b:Title>Intravenous glucose suppresses glucose production but not proteolysis in extremely premature newborns.</b:Title>
    <b:JournalName>J Clin Invest</b:JournalName>
    <b:Year>1993</b:Year>
    <b:Pages>1752-1758</b:Pages>
    <b:RefOrder>17</b:RefOrder>
  </b:Source>
  <b:Source>
    <b:Tag>Ill05</b:Tag>
    <b:SourceType>JournalArticle</b:SourceType>
    <b:Guid>{4D29696B-00E8-4869-8BFA-B923ED761854}</b:Guid>
    <b:Author>
      <b:Author>
        <b:NameList>
          <b:Person>
            <b:Last>Illsinger S</b:Last>
            <b:First>et</b:First>
            <b:Middle>al.:</b:Middle>
          </b:Person>
        </b:NameList>
      </b:Author>
    </b:Author>
    <b:Title>Branched chain amino acids as a parameter for catabolism in treated phenylketonuria.</b:Title>
    <b:JournalName>Amino acids</b:JournalName>
    <b:Year>2005</b:Year>
    <b:Pages>45-50</b:Pages>
    <b:RefOrder>18</b:RefOrder>
  </b:Source>
  <b:Source>
    <b:Tag>Cre00</b:Tag>
    <b:SourceType>JournalArticle</b:SourceType>
    <b:Guid>{446B6375-6E78-492D-AE0F-DE50524CC895}</b:Guid>
    <b:Author>
      <b:Author>
        <b:NameList>
          <b:Person>
            <b:Last>Crenn P</b:Last>
            <b:First>Coudray-Lucas</b:First>
            <b:Middle>C, Thuillier F,Cynober L,Messing B</b:Middle>
          </b:Person>
        </b:NameList>
      </b:Author>
    </b:Author>
    <b:Title>Postabsorptive plasma citrullin concentration is a marker of enterocyte mass and intestinal failure in humans.</b:Title>
    <b:JournalName>Gastroenterology</b:JournalName>
    <b:Year>2000</b:Year>
    <b:Pages>1496-1505</b:Pages>
    <b:RefOrder>8</b:RefOrder>
  </b:Source>
  <b:Source>
    <b:Tag>Ill051</b:Tag>
    <b:SourceType>JournalArticle</b:SourceType>
    <b:Guid>{54BA7004-2180-4A67-8382-67C9BE01D1E2}</b:Guid>
    <b:Author>
      <b:Author>
        <b:NameList>
          <b:Person>
            <b:Last>Illsinger S</b:Last>
            <b:First>Lucke</b:First>
            <b:Middle>T, Meyer U, Vaske B, Das AM</b:Middle>
          </b:Person>
        </b:NameList>
      </b:Author>
    </b:Author>
    <b:Title>Branched chain amino acids as a parameter for catabolism in treated phenylketonuria.</b:Title>
    <b:JournalName>Amino acids</b:JournalName>
    <b:Year>2005</b:Year>
    <b:Pages>45-50</b:Pages>
    <b:RefOrder>6</b:RefOrder>
  </b:Source>
  <b:Source>
    <b:Tag>Jon92</b:Tag>
    <b:SourceType>JournalArticle</b:SourceType>
    <b:Guid>{881340FB-4AE8-4A81-8D01-FB08AA140DB5}</b:Guid>
    <b:Author>
      <b:Author>
        <b:NameList>
          <b:Person>
            <b:Last>Jones DP</b:Last>
            <b:First>Chesney</b:First>
            <b:Middle>RW</b:Middle>
          </b:Person>
        </b:NameList>
      </b:Author>
    </b:Author>
    <b:Title>Development of tubular function.</b:Title>
    <b:JournalName>Clin Perinatol</b:JournalName>
    <b:Year>1992</b:Year>
    <b:Pages>33-57</b:Pages>
    <b:RefOrder>5</b:RefOrder>
  </b:Source>
  <b:Source>
    <b:Tag>Her933</b:Tag>
    <b:SourceType>JournalArticle</b:SourceType>
    <b:Guid>{782C6960-91C4-4E9D-942D-1A172AF8A278}</b:Guid>
    <b:Author>
      <b:Author>
        <b:NameList>
          <b:Person>
            <b:Last>Hertz DE</b:Last>
            <b:First>Karn</b:First>
            <b:Middle>CA, Liu YM , Liechty EA, Denne SC</b:Middle>
          </b:Person>
        </b:NameList>
      </b:Author>
    </b:Author>
    <b:Title>Intravenous glucose suppresses glucose production but not proteolysis in extremely premature newborns</b:Title>
    <b:JournalName>J Clin  Invest</b:JournalName>
    <b:Year>1993</b:Year>
    <b:Pages>1752-1758</b:Pages>
    <b:RefOrder>4</b:RefOrder>
  </b:Source>
  <b:Source>
    <b:Tag>DeC04</b:Tag>
    <b:SourceType>JournalArticle</b:SourceType>
    <b:Guid>{30720D22-F877-4654-A82A-B28B322A9395}</b:Guid>
    <b:Author>
      <b:Author>
        <b:NameList>
          <b:Person>
            <b:Last>De Curtis M</b:Last>
            <b:First>Rigo</b:First>
            <b:Middle>J</b:Middle>
          </b:Person>
        </b:NameList>
      </b:Author>
    </b:Author>
    <b:Title>Extrauterine growth restriction in very low-birth weight  infants.</b:Title>
    <b:JournalName>Acta  Paediatr</b:JournalName>
    <b:Year>2004</b:Year>
    <b:Pages>1563-1568</b:Pages>
    <b:RefOrder>7</b:RefOrder>
  </b:Source>
  <b:Source>
    <b:Tag>YiP11</b:Tag>
    <b:SourceType>JournalArticle</b:SourceType>
    <b:Guid>{AA41AD50-3AC7-4512-886B-A843FF512E9F}</b:Guid>
    <b:Author>
      <b:Author>
        <b:NameList>
          <b:Person>
            <b:Last>Yi P</b:Last>
            <b:First>Liu</b:First>
            <b:Middle>L, Mei H, Zeng F, Huang Z,et al.</b:Middle>
          </b:Person>
        </b:NameList>
      </b:Author>
    </b:Author>
    <b:Title>Establishment of reference range of plasma amino acids for younger Chinese children by reverse phase HPLC.</b:Title>
    <b:JournalName>J Pediatr Endocrinol Metab </b:JournalName>
    <b:Year>2011</b:Year>
    <b:Pages>733-8</b:Pages>
    <b:RefOrder>1</b:RefOrder>
  </b:Source>
  <b:Source>
    <b:Tag>Liu00</b:Tag>
    <b:SourceType>JournalArticle</b:SourceType>
    <b:Guid>{A46AAD7C-3F1D-4685-B8C9-716CE848A982}</b:Guid>
    <b:Author>
      <b:Author>
        <b:NameList>
          <b:Person>
            <b:Last>H.</b:Last>
            <b:First>Liu</b:First>
          </b:Person>
        </b:NameList>
      </b:Author>
    </b:Author>
    <b:Title> Measurement of blood plasma amino acids in ultrafiltrates by high performance liquid chromatography with automatic precolumn o-phtaldialdehyde derivatization.</b:Title>
    <b:JournalName>Methods Mol Biol </b:JournalName>
    <b:Year>2000</b:Year>
    <b:Pages>123-40</b:Pages>
    <b:RefOrder>2</b:RefOrder>
  </b:Source>
  <b:Source>
    <b:Tag>Cyn83</b:Tag>
    <b:SourceType>JournalArticle</b:SourceType>
    <b:Guid>{6FA50095-0021-4CF3-834C-246A84ACA422}</b:Guid>
    <b:Author>
      <b:Author>
        <b:NameList>
          <b:Person>
            <b:Last>Cynober L</b:Last>
            <b:First>Blonde</b:First>
            <b:Middle>F, Nguyen Dinh F, Gerbet D, Giboudeau J.</b:Middle>
          </b:Person>
        </b:NameList>
      </b:Author>
    </b:Author>
    <b:Title>Measurement of plasma and urinary amino acids with gas chromatography in healthy subjects. Variation as a function of age and sex.</b:Title>
    <b:JournalName>Ann Biol Clin (Paris)</b:JournalName>
    <b:Year>1983</b:Year>
    <b:Pages>33-8</b:Pages>
    <b:RefOrder>3</b:RefOrder>
  </b:Source>
  <b:Source>
    <b:Tag>Myr061</b:Tag>
    <b:SourceType>JournalArticle</b:SourceType>
    <b:Guid>{F99B5AD5-2C1C-4BEC-8C3F-364170E6F136}</b:Guid>
    <b:Author>
      <b:Author>
        <b:NameList>
          <b:Person>
            <b:Last>Myron JA.Burtis CA. Ashwood ER</b:Last>
            <b:First>Bruns</b:First>
            <b:Middle>DE, editors.</b:Middle>
          </b:Person>
        </b:NameList>
      </b:Author>
    </b:Author>
    <b:Title>Amino acids, peptides, and proteins</b:Title>
    <b:JournalName>Tietz Textbook of Clinical Chemistry and Molecular Diagnosis.</b:JournalName>
    <b:Year>2006</b:Year>
    <b:Pages>533-595</b:Pages>
    <b:RefOrder>13</b:RefOrder>
  </b:Source>
  <b:Source>
    <b:Tag>Myr062</b:Tag>
    <b:SourceType>JournalArticle</b:SourceType>
    <b:Guid>{49E5BD1D-F7FD-4B9D-9D35-E173EC60F936}</b:Guid>
    <b:Author>
      <b:Author>
        <b:NameList>
          <b:Person>
            <b:Last>Myron JA</b:Last>
            <b:First>Brutis</b:First>
            <b:Middle>CA,Ashwood ER,Bruns DE, editors.</b:Middle>
          </b:Person>
        </b:NameList>
      </b:Author>
    </b:Author>
    <b:Title>Amino acids, peptides, and proteins</b:Title>
    <b:JournalName>Tietz Textbook of Clinical Chemistry and Molecular Diagnosis.</b:JournalName>
    <b:Year>2006</b:Year>
    <b:Pages>533-595</b:Pages>
    <b:RefOrder>14</b:RefOrder>
  </b:Source>
  <b:Source>
    <b:Tag>YiP112</b:Tag>
    <b:SourceType>JournalArticle</b:SourceType>
    <b:Guid>{A04C9595-D496-4845-B794-FA8B55859C77}</b:Guid>
    <b:Author>
      <b:Author>
        <b:NameList>
          <b:Person>
            <b:Last>Yi P</b:Last>
            <b:First>Liv</b:First>
            <b:Middle>L, Me i H, Zeng F, Huang Z, Niu H.</b:Middle>
          </b:Person>
        </b:NameList>
      </b:Author>
    </b:Author>
    <b:Title>Establishment of reference range of plasma amino acids for younger chinese children by reverse phase HPLC.</b:Title>
    <b:JournalName>J Pediatr Endocrinol Metab</b:JournalName>
    <b:Year>2011</b:Year>
    <b:Pages>733-738</b:Pages>
    <b:RefOrder>12</b:RefOrder>
  </b:Source>
  <b:Source>
    <b:Tag>Lep06</b:Tag>
    <b:SourceType>JournalArticle</b:SourceType>
    <b:Guid>{C0F4D8E0-0347-482D-BAD7-EB152AA3A5D9}</b:Guid>
    <b:Author>
      <b:Author>
        <b:NameList>
          <b:Person>
            <b:Last>Lepage N</b:Last>
            <b:First>Li</b:First>
            <b:Middle>D, Kavsak PA, Bamforth F, Callahan J, Dooley K, Potter M.</b:Middle>
          </b:Person>
        </b:NameList>
      </b:Author>
    </b:Author>
    <b:Title>Incomplete pediatric reference intervals for the management of patients with inborn errors of metabolism</b:Title>
    <b:JournalName>Clin Biochem</b:JournalName>
    <b:Year>2006</b:Year>
    <b:Pages>595-599</b:Pages>
    <b:RefOrder>10</b:RefOrder>
  </b:Source>
  <b:Source>
    <b:Tag>Lep061</b:Tag>
    <b:SourceType>JournalArticle</b:SourceType>
    <b:Guid>{370F9E23-79A4-44B0-B69D-05DE3B1B39B6}</b:Guid>
    <b:Author>
      <b:Author>
        <b:NameList>
          <b:Person>
            <b:Last>Lepage N</b:Last>
            <b:First>Li</b:First>
            <b:Middle>D, Kavsak PA, Bamforth F, Callahan J, Dooley K, Potter M.</b:Middle>
          </b:Person>
        </b:NameList>
      </b:Author>
    </b:Author>
    <b:Title>Incomplete pediatric reference intervals for the management of patients with inborn errors of metabolism.</b:Title>
    <b:JournalName>Clin Biochem</b:JournalName>
    <b:Year>2006</b:Year>
    <b:Pages>595-599</b:Pages>
    <b:RefOrder>11</b:RefOrder>
  </b:Source>
</b:Sources>
</file>

<file path=customXml/itemProps1.xml><?xml version="1.0" encoding="utf-8"?>
<ds:datastoreItem xmlns:ds="http://schemas.openxmlformats.org/officeDocument/2006/customXml" ds:itemID="{20E84BF9-A5A6-446E-B39A-D9F7867C7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ABC</cp:lastModifiedBy>
  <cp:revision>2</cp:revision>
  <dcterms:created xsi:type="dcterms:W3CDTF">2017-02-14T17:17:00Z</dcterms:created>
  <dcterms:modified xsi:type="dcterms:W3CDTF">2017-02-14T17:17:00Z</dcterms:modified>
</cp:coreProperties>
</file>