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06AA0" w14:textId="45C34DAC" w:rsidR="001F5DA6" w:rsidRPr="001553D6" w:rsidRDefault="001F5DA6" w:rsidP="001F5DA6">
      <w:pPr>
        <w:jc w:val="center"/>
        <w:rPr>
          <w:b/>
        </w:rPr>
      </w:pPr>
      <w:r w:rsidRPr="001553D6">
        <w:rPr>
          <w:b/>
        </w:rPr>
        <w:t>Intraventricular aneurysm of the distal segment of the anterior choroidal artery: A case report and review of literature.</w:t>
      </w:r>
    </w:p>
    <w:p w14:paraId="4CA6D7CE" w14:textId="164181C3" w:rsidR="000C3E14" w:rsidRDefault="000C3E14" w:rsidP="000C3E14">
      <w:pPr>
        <w:rPr>
          <w:b/>
          <w:sz w:val="20"/>
          <w:szCs w:val="20"/>
        </w:rPr>
      </w:pPr>
    </w:p>
    <w:p w14:paraId="19F499A3" w14:textId="6A5ABC7A" w:rsidR="000C3E14" w:rsidRPr="000C3E14" w:rsidRDefault="000C3E14" w:rsidP="000C3E14">
      <w:pPr>
        <w:rPr>
          <w:bCs/>
          <w:sz w:val="20"/>
          <w:szCs w:val="20"/>
        </w:rPr>
      </w:pPr>
      <w:r w:rsidRPr="000C3E14">
        <w:rPr>
          <w:bCs/>
          <w:sz w:val="20"/>
          <w:szCs w:val="20"/>
        </w:rPr>
        <w:t>Karrar Aljiboori B.S., Michigan State University College of Human Medicine, MI, USA</w:t>
      </w:r>
    </w:p>
    <w:p w14:paraId="41CF5113" w14:textId="07372D9D" w:rsidR="000C3E14" w:rsidRPr="000C3E14" w:rsidRDefault="000C3E14" w:rsidP="000C3E14">
      <w:pPr>
        <w:rPr>
          <w:bCs/>
          <w:sz w:val="20"/>
          <w:szCs w:val="20"/>
        </w:rPr>
      </w:pPr>
      <w:r w:rsidRPr="000C3E14">
        <w:rPr>
          <w:bCs/>
          <w:sz w:val="20"/>
          <w:szCs w:val="20"/>
        </w:rPr>
        <w:t xml:space="preserve">Mohamed </w:t>
      </w:r>
      <w:proofErr w:type="spellStart"/>
      <w:r w:rsidRPr="000C3E14">
        <w:rPr>
          <w:bCs/>
          <w:sz w:val="20"/>
          <w:szCs w:val="20"/>
        </w:rPr>
        <w:t>Abouelleil</w:t>
      </w:r>
      <w:proofErr w:type="spellEnd"/>
      <w:r w:rsidRPr="000C3E14">
        <w:rPr>
          <w:bCs/>
          <w:sz w:val="20"/>
          <w:szCs w:val="20"/>
        </w:rPr>
        <w:t>, M.D., Spectrum Health Neurosurgery Department, MI, USA</w:t>
      </w:r>
    </w:p>
    <w:p w14:paraId="26A8B857" w14:textId="059F14F5" w:rsidR="000C3E14" w:rsidRPr="000C3E14" w:rsidRDefault="000C3E14" w:rsidP="000C3E14">
      <w:pPr>
        <w:rPr>
          <w:bCs/>
          <w:sz w:val="20"/>
          <w:szCs w:val="20"/>
        </w:rPr>
      </w:pPr>
      <w:r w:rsidRPr="000C3E14">
        <w:rPr>
          <w:b/>
          <w:sz w:val="20"/>
          <w:szCs w:val="20"/>
        </w:rPr>
        <w:t>Faculty:</w:t>
      </w:r>
      <w:r w:rsidRPr="000C3E14">
        <w:rPr>
          <w:bCs/>
          <w:sz w:val="20"/>
          <w:szCs w:val="20"/>
        </w:rPr>
        <w:t xml:space="preserve"> Justin Singer, M.D., Spectrum Health Neurosurgery Department, MI, USA</w:t>
      </w:r>
    </w:p>
    <w:p w14:paraId="5FFF0AA9" w14:textId="1FE6998C" w:rsidR="000C3E14" w:rsidRDefault="000C3E14" w:rsidP="00C27046">
      <w:pPr>
        <w:rPr>
          <w:highlight w:val="white"/>
        </w:rPr>
      </w:pPr>
    </w:p>
    <w:p w14:paraId="63471188" w14:textId="21B97DFA" w:rsidR="00C27046" w:rsidRPr="001553D6" w:rsidRDefault="001553D6" w:rsidP="00C27046">
      <w:pPr>
        <w:rPr>
          <w:b/>
          <w:bCs/>
          <w:highlight w:val="white"/>
        </w:rPr>
      </w:pPr>
      <w:r w:rsidRPr="001553D6">
        <w:rPr>
          <w:noProof/>
          <w:highlight w:val="white"/>
        </w:rPr>
        <mc:AlternateContent>
          <mc:Choice Requires="wps">
            <w:drawing>
              <wp:anchor distT="45720" distB="45720" distL="114300" distR="114300" simplePos="0" relativeHeight="251659264" behindDoc="0" locked="0" layoutInCell="1" allowOverlap="1" wp14:anchorId="7C444261" wp14:editId="5FF8406F">
                <wp:simplePos x="0" y="0"/>
                <wp:positionH relativeFrom="margin">
                  <wp:align>left</wp:align>
                </wp:positionH>
                <wp:positionV relativeFrom="paragraph">
                  <wp:posOffset>374015</wp:posOffset>
                </wp:positionV>
                <wp:extent cx="2647950" cy="3492500"/>
                <wp:effectExtent l="0" t="0" r="1905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3492500"/>
                        </a:xfrm>
                        <a:prstGeom prst="rect">
                          <a:avLst/>
                        </a:prstGeom>
                        <a:solidFill>
                          <a:srgbClr val="FFFFFF"/>
                        </a:solidFill>
                        <a:ln w="9525">
                          <a:solidFill>
                            <a:srgbClr val="000000"/>
                          </a:solidFill>
                          <a:miter lim="800000"/>
                          <a:headEnd/>
                          <a:tailEnd/>
                        </a:ln>
                      </wps:spPr>
                      <wps:txbx>
                        <w:txbxContent>
                          <w:p w14:paraId="4653D36D" w14:textId="7B0742B7" w:rsidR="00C27046" w:rsidRPr="00C27046" w:rsidRDefault="0001380A" w:rsidP="00C27046">
                            <w:pPr>
                              <w:jc w:val="both"/>
                              <w:rPr>
                                <w:sz w:val="16"/>
                                <w:szCs w:val="16"/>
                              </w:rPr>
                            </w:pPr>
                            <w:r>
                              <w:rPr>
                                <w:sz w:val="16"/>
                                <w:szCs w:val="16"/>
                              </w:rPr>
                              <w:t>A</w:t>
                            </w:r>
                            <w:r w:rsidRPr="00C27046">
                              <w:rPr>
                                <w:sz w:val="16"/>
                                <w:szCs w:val="16"/>
                              </w:rPr>
                              <w:t xml:space="preserve">nterior choroidal artery </w:t>
                            </w:r>
                            <w:r>
                              <w:rPr>
                                <w:sz w:val="16"/>
                                <w:szCs w:val="16"/>
                              </w:rPr>
                              <w:t>(</w:t>
                            </w:r>
                            <w:proofErr w:type="spellStart"/>
                            <w:r>
                              <w:rPr>
                                <w:sz w:val="16"/>
                                <w:szCs w:val="16"/>
                              </w:rPr>
                              <w:t>AChA</w:t>
                            </w:r>
                            <w:proofErr w:type="spellEnd"/>
                            <w:r>
                              <w:rPr>
                                <w:sz w:val="16"/>
                                <w:szCs w:val="16"/>
                              </w:rPr>
                              <w:t xml:space="preserve">) </w:t>
                            </w:r>
                            <w:r w:rsidR="00C27046" w:rsidRPr="00C27046">
                              <w:rPr>
                                <w:sz w:val="16"/>
                                <w:szCs w:val="16"/>
                                <w:highlight w:val="white"/>
                              </w:rPr>
                              <w:t xml:space="preserve">aneurysms at the junction of the ICA and </w:t>
                            </w:r>
                            <w:proofErr w:type="spellStart"/>
                            <w:r w:rsidR="00C27046" w:rsidRPr="00C27046">
                              <w:rPr>
                                <w:sz w:val="16"/>
                                <w:szCs w:val="16"/>
                                <w:highlight w:val="white"/>
                              </w:rPr>
                              <w:t>AChA</w:t>
                            </w:r>
                            <w:proofErr w:type="spellEnd"/>
                            <w:r w:rsidR="00C27046" w:rsidRPr="00C27046">
                              <w:rPr>
                                <w:sz w:val="16"/>
                                <w:szCs w:val="16"/>
                                <w:highlight w:val="white"/>
                              </w:rPr>
                              <w:t xml:space="preserve"> are the most common</w:t>
                            </w:r>
                            <w:r w:rsidR="00770E06">
                              <w:rPr>
                                <w:sz w:val="16"/>
                                <w:szCs w:val="16"/>
                                <w:highlight w:val="white"/>
                              </w:rPr>
                              <w:t xml:space="preserve"> </w:t>
                            </w:r>
                            <w:proofErr w:type="spellStart"/>
                            <w:r w:rsidR="00770E06">
                              <w:rPr>
                                <w:sz w:val="16"/>
                                <w:szCs w:val="16"/>
                                <w:highlight w:val="white"/>
                              </w:rPr>
                              <w:t>AChA</w:t>
                            </w:r>
                            <w:proofErr w:type="spellEnd"/>
                            <w:r w:rsidR="00C27046" w:rsidRPr="00C27046">
                              <w:rPr>
                                <w:sz w:val="16"/>
                                <w:szCs w:val="16"/>
                                <w:highlight w:val="white"/>
                              </w:rPr>
                              <w:t xml:space="preserve"> pathology, and they account for </w:t>
                            </w:r>
                            <w:r w:rsidR="00C27046" w:rsidRPr="00C27046">
                              <w:rPr>
                                <w:sz w:val="16"/>
                                <w:szCs w:val="16"/>
                              </w:rPr>
                              <w:t>approximately 2-5% of all intracranial aneurysms; however, aneurysms of the distal segment of the (</w:t>
                            </w:r>
                            <w:proofErr w:type="spellStart"/>
                            <w:r w:rsidR="00C27046" w:rsidRPr="00C27046">
                              <w:rPr>
                                <w:sz w:val="16"/>
                                <w:szCs w:val="16"/>
                              </w:rPr>
                              <w:t>AChA</w:t>
                            </w:r>
                            <w:proofErr w:type="spellEnd"/>
                            <w:r w:rsidR="00C27046" w:rsidRPr="00C27046">
                              <w:rPr>
                                <w:sz w:val="16"/>
                                <w:szCs w:val="16"/>
                              </w:rPr>
                              <w:t xml:space="preserve">) are extremely rare. We report a case of a 73-year-old male who presented with altered mental status. Non-contrast computed tomography (CT) of the head showed extensive intraventricular hemorrhage that is most intense in the right temporal horn. Initial computed tomography angiography (CTA) revealed a lobulated enhancing structure with a vascular pedicle in the right temporal horn. Digital substruction angiography (DSA) confirmed the presence of a ruptured aneurysm in the intraventricular segment of the </w:t>
                            </w:r>
                            <w:proofErr w:type="spellStart"/>
                            <w:r w:rsidR="00C27046" w:rsidRPr="00C27046">
                              <w:rPr>
                                <w:sz w:val="16"/>
                                <w:szCs w:val="16"/>
                              </w:rPr>
                              <w:t>AChA</w:t>
                            </w:r>
                            <w:proofErr w:type="spellEnd"/>
                            <w:r w:rsidR="00C27046" w:rsidRPr="00C27046">
                              <w:rPr>
                                <w:sz w:val="16"/>
                                <w:szCs w:val="16"/>
                              </w:rPr>
                              <w:t xml:space="preserve">. The aneurysm was not amenable to endovascular treatment due to a stenotic proximal </w:t>
                            </w:r>
                            <w:proofErr w:type="spellStart"/>
                            <w:r w:rsidR="00C27046" w:rsidRPr="00C27046">
                              <w:rPr>
                                <w:sz w:val="16"/>
                                <w:szCs w:val="16"/>
                              </w:rPr>
                              <w:t>AChA</w:t>
                            </w:r>
                            <w:proofErr w:type="spellEnd"/>
                            <w:r w:rsidR="00C27046" w:rsidRPr="00C27046">
                              <w:rPr>
                                <w:sz w:val="16"/>
                                <w:szCs w:val="16"/>
                              </w:rPr>
                              <w:t xml:space="preserve">. The patient underwent a right transtemporal </w:t>
                            </w:r>
                            <w:proofErr w:type="spellStart"/>
                            <w:r w:rsidR="00C27046" w:rsidRPr="00C27046">
                              <w:rPr>
                                <w:sz w:val="16"/>
                                <w:szCs w:val="16"/>
                              </w:rPr>
                              <w:t>transventricular</w:t>
                            </w:r>
                            <w:proofErr w:type="spellEnd"/>
                            <w:r w:rsidR="00C27046" w:rsidRPr="00C27046">
                              <w:rPr>
                                <w:sz w:val="16"/>
                                <w:szCs w:val="16"/>
                              </w:rPr>
                              <w:t xml:space="preserve"> approach and clip placement. To our knowledge, our report introduces the use of </w:t>
                            </w:r>
                            <w:proofErr w:type="spellStart"/>
                            <w:r w:rsidR="00C27046" w:rsidRPr="00C27046">
                              <w:rPr>
                                <w:sz w:val="16"/>
                                <w:szCs w:val="16"/>
                              </w:rPr>
                              <w:t>BrainPath</w:t>
                            </w:r>
                            <w:proofErr w:type="spellEnd"/>
                            <w:r w:rsidR="00C27046" w:rsidRPr="00C27046">
                              <w:rPr>
                                <w:sz w:val="16"/>
                                <w:szCs w:val="16"/>
                              </w:rPr>
                              <w:t xml:space="preserve"> for the first time for aneurysmal clipping involving the intraventricular </w:t>
                            </w:r>
                            <w:proofErr w:type="spellStart"/>
                            <w:r w:rsidR="00C27046" w:rsidRPr="00C27046">
                              <w:rPr>
                                <w:sz w:val="16"/>
                                <w:szCs w:val="16"/>
                              </w:rPr>
                              <w:t>AChA</w:t>
                            </w:r>
                            <w:proofErr w:type="spellEnd"/>
                            <w:r w:rsidR="00C27046" w:rsidRPr="00C27046">
                              <w:rPr>
                                <w:sz w:val="16"/>
                                <w:szCs w:val="16"/>
                              </w:rPr>
                              <w:t xml:space="preserve">. This case emphasizes the consideration of intraventricular </w:t>
                            </w:r>
                            <w:proofErr w:type="spellStart"/>
                            <w:r w:rsidR="00C27046" w:rsidRPr="00C27046">
                              <w:rPr>
                                <w:sz w:val="16"/>
                                <w:szCs w:val="16"/>
                              </w:rPr>
                              <w:t>AChA</w:t>
                            </w:r>
                            <w:proofErr w:type="spellEnd"/>
                            <w:r w:rsidR="00C27046" w:rsidRPr="00C27046">
                              <w:rPr>
                                <w:sz w:val="16"/>
                                <w:szCs w:val="16"/>
                              </w:rPr>
                              <w:t xml:space="preserve"> aneurysms as a possible cause of intraventricular hemorrhage (IVH). We also review the current literature on </w:t>
                            </w:r>
                            <w:proofErr w:type="spellStart"/>
                            <w:r w:rsidR="00C27046" w:rsidRPr="00C27046">
                              <w:rPr>
                                <w:sz w:val="16"/>
                                <w:szCs w:val="16"/>
                              </w:rPr>
                              <w:t>AChA</w:t>
                            </w:r>
                            <w:proofErr w:type="spellEnd"/>
                            <w:r w:rsidR="00C27046" w:rsidRPr="00C27046">
                              <w:rPr>
                                <w:sz w:val="16"/>
                                <w:szCs w:val="16"/>
                              </w:rPr>
                              <w:t xml:space="preserve"> pathologies and aneurysms management.</w:t>
                            </w:r>
                          </w:p>
                          <w:p w14:paraId="6FD4A120" w14:textId="3B677B75" w:rsidR="00C27046" w:rsidRPr="00C27046" w:rsidRDefault="00C27046">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444261" id="_x0000_t202" coordsize="21600,21600" o:spt="202" path="m,l,21600r21600,l21600,xe">
                <v:stroke joinstyle="miter"/>
                <v:path gradientshapeok="t" o:connecttype="rect"/>
              </v:shapetype>
              <v:shape id="Text Box 2" o:spid="_x0000_s1026" type="#_x0000_t202" style="position:absolute;margin-left:0;margin-top:29.45pt;width:208.5pt;height:27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">
                <v:textbox>
                  <w:txbxContent>
                    <w:p w14:paraId="4653D36D" w14:textId="7B0742B7" w:rsidR="00C27046" w:rsidRPr="00C27046" w:rsidRDefault="0001380A" w:rsidP="00C27046">
                      <w:pPr>
                        <w:jc w:val="both"/>
                        <w:rPr>
                          <w:sz w:val="16"/>
                          <w:szCs w:val="16"/>
                        </w:rPr>
                      </w:pPr>
                      <w:r>
                        <w:rPr>
                          <w:sz w:val="16"/>
                          <w:szCs w:val="16"/>
                        </w:rPr>
                        <w:t>A</w:t>
                      </w:r>
                      <w:r w:rsidRPr="00C27046">
                        <w:rPr>
                          <w:sz w:val="16"/>
                          <w:szCs w:val="16"/>
                        </w:rPr>
                        <w:t xml:space="preserve">nterior choroidal artery </w:t>
                      </w:r>
                      <w:r>
                        <w:rPr>
                          <w:sz w:val="16"/>
                          <w:szCs w:val="16"/>
                        </w:rPr>
                        <w:t xml:space="preserve">(AChA) </w:t>
                      </w:r>
                      <w:r w:rsidR="00C27046" w:rsidRPr="00C27046">
                        <w:rPr>
                          <w:sz w:val="16"/>
                          <w:szCs w:val="16"/>
                          <w:highlight w:val="white"/>
                        </w:rPr>
                        <w:t>aneurysms at the junction of the ICA and AChA are the most common</w:t>
                      </w:r>
                      <w:r w:rsidR="00770E06">
                        <w:rPr>
                          <w:sz w:val="16"/>
                          <w:szCs w:val="16"/>
                          <w:highlight w:val="white"/>
                        </w:rPr>
                        <w:t xml:space="preserve"> AChA</w:t>
                      </w:r>
                      <w:r w:rsidR="00C27046" w:rsidRPr="00C27046">
                        <w:rPr>
                          <w:sz w:val="16"/>
                          <w:szCs w:val="16"/>
                          <w:highlight w:val="white"/>
                        </w:rPr>
                        <w:t xml:space="preserve"> pathology, and they account for </w:t>
                      </w:r>
                      <w:r w:rsidR="00C27046" w:rsidRPr="00C27046">
                        <w:rPr>
                          <w:sz w:val="16"/>
                          <w:szCs w:val="16"/>
                        </w:rPr>
                        <w:t>approximately 2-5% of all intracranial aneurysms; however, aneurysms of the distal segment of the (AChA) are extremely rare. We report a case of a 73-year-old male who presented with altered mental status. Non-contrast computed tomography (CT) of the head showed extensive intraventricular hemorrhage that is most intense in the right temporal horn. Initial computed tomography angiography (CTA) revealed a lobulated enhancing structure with a vascular pedicle in the right temporal horn. Digital substruction angiography (DSA) confirmed the presence of a ruptured aneurysm in the intraventricular segment of the AChA. The aneurysm was not amenable to endovascular treatment due to a stenotic proximal AChA. The patient underwent a right transtemporal transventricular approach and clip placement. To our knowledge, our report introduces the use of BrainPath for the first time for aneurysmal clipping involving the intraventricular AChA. This case emphasizes the consideration of intraventricular AChA aneurysms as a possible cause of intraventricular hemorrhage (IVH). We also review the current literature on AChA pathologies and aneurysms management.</w:t>
                      </w:r>
                    </w:p>
                    <w:p w14:paraId="6FD4A120" w14:textId="3B677B75" w:rsidR="00C27046" w:rsidRPr="00C27046" w:rsidRDefault="00C27046">
                      <w:pPr>
                        <w:rPr>
                          <w:lang w:val="en-US"/>
                        </w:rPr>
                      </w:pPr>
                    </w:p>
                  </w:txbxContent>
                </v:textbox>
                <w10:wrap type="square" anchorx="margin"/>
              </v:shape>
            </w:pict>
          </mc:Fallback>
        </mc:AlternateContent>
      </w:r>
      <w:r w:rsidRPr="001553D6">
        <w:rPr>
          <w:b/>
          <w:noProof/>
        </w:rPr>
        <mc:AlternateContent>
          <mc:Choice Requires="wps">
            <w:drawing>
              <wp:anchor distT="45720" distB="45720" distL="114300" distR="114300" simplePos="0" relativeHeight="251663360" behindDoc="0" locked="0" layoutInCell="1" allowOverlap="1" wp14:anchorId="06065192" wp14:editId="7EAC4633">
                <wp:simplePos x="0" y="0"/>
                <wp:positionH relativeFrom="margin">
                  <wp:posOffset>2730500</wp:posOffset>
                </wp:positionH>
                <wp:positionV relativeFrom="paragraph">
                  <wp:posOffset>372110</wp:posOffset>
                </wp:positionV>
                <wp:extent cx="3517900" cy="3054350"/>
                <wp:effectExtent l="0" t="0" r="25400" b="1270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7900" cy="3054350"/>
                        </a:xfrm>
                        <a:prstGeom prst="rect">
                          <a:avLst/>
                        </a:prstGeom>
                        <a:solidFill>
                          <a:srgbClr val="FFFFFF"/>
                        </a:solidFill>
                        <a:ln w="9525">
                          <a:solidFill>
                            <a:srgbClr val="000000"/>
                          </a:solidFill>
                          <a:miter lim="800000"/>
                          <a:headEnd/>
                          <a:tailEnd/>
                        </a:ln>
                      </wps:spPr>
                      <wps:txbx>
                        <w:txbxContent>
                          <w:p w14:paraId="4E69E449" w14:textId="77777777" w:rsidR="00C27046" w:rsidRDefault="00C27046" w:rsidP="00C27046">
                            <w:pPr>
                              <w:jc w:val="both"/>
                            </w:pPr>
                            <w:r>
                              <w:rPr>
                                <w:noProof/>
                              </w:rPr>
                              <w:drawing>
                                <wp:inline distT="114300" distB="114300" distL="114300" distR="114300" wp14:anchorId="3FE6BEC6" wp14:editId="2ED17662">
                                  <wp:extent cx="3035300" cy="2355215"/>
                                  <wp:effectExtent l="0" t="0" r="0" b="6985"/>
                                  <wp:docPr id="7" name="image4.jpg" descr="A picture containing text, invertebrate, branchiopod crustacean, arthropod&#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4.jpg" descr="A picture containing text, invertebrate, branchiopod crustacean, arthropod&#10;&#10;Description automatically generated"/>
                                          <pic:cNvPicPr preferRelativeResize="0"/>
                                        </pic:nvPicPr>
                                        <pic:blipFill>
                                          <a:blip r:embed="rId5"/>
                                          <a:srcRect/>
                                          <a:stretch>
                                            <a:fillRect/>
                                          </a:stretch>
                                        </pic:blipFill>
                                        <pic:spPr>
                                          <a:xfrm>
                                            <a:off x="0" y="0"/>
                                            <a:ext cx="3080210" cy="2390063"/>
                                          </a:xfrm>
                                          <a:prstGeom prst="rect">
                                            <a:avLst/>
                                          </a:prstGeom>
                                          <a:ln/>
                                        </pic:spPr>
                                      </pic:pic>
                                    </a:graphicData>
                                  </a:graphic>
                                </wp:inline>
                              </w:drawing>
                            </w:r>
                          </w:p>
                          <w:p w14:paraId="4F67AC4B" w14:textId="77777777" w:rsidR="00C27046" w:rsidRPr="00C27046" w:rsidRDefault="00C27046" w:rsidP="00C27046">
                            <w:pPr>
                              <w:jc w:val="both"/>
                              <w:rPr>
                                <w:b/>
                                <w:sz w:val="16"/>
                                <w:szCs w:val="16"/>
                              </w:rPr>
                            </w:pPr>
                            <w:r w:rsidRPr="00C27046">
                              <w:rPr>
                                <w:b/>
                                <w:sz w:val="16"/>
                                <w:szCs w:val="16"/>
                              </w:rPr>
                              <w:t>Figure 1: Initial head CT without contrast</w:t>
                            </w:r>
                          </w:p>
                          <w:p w14:paraId="5749A90A" w14:textId="28DB59F3" w:rsidR="00C27046" w:rsidRPr="00C27046" w:rsidRDefault="00C27046" w:rsidP="00C27046">
                            <w:pPr>
                              <w:rPr>
                                <w:sz w:val="16"/>
                                <w:szCs w:val="16"/>
                              </w:rPr>
                            </w:pPr>
                            <w:r w:rsidRPr="00C27046">
                              <w:rPr>
                                <w:sz w:val="16"/>
                                <w:szCs w:val="16"/>
                              </w:rPr>
                              <w:t>Extensive intraventricular hemorrhage in the right and left lateral ventricles as well as the third and fourth ventricles (not shown in image).  Extension of hemorrhage into the right sylvian cistern, basal cistern, and right ambient cistern.</w:t>
                            </w:r>
                          </w:p>
                          <w:p w14:paraId="1C8C9BDF" w14:textId="23960C7D" w:rsidR="00C27046" w:rsidRDefault="00C2704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065192" id="_x0000_s1027" type="#_x0000_t202" style="position:absolute;margin-left:215pt;margin-top:29.3pt;width:277pt;height:240.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">
                <v:textbox>
                  <w:txbxContent>
                    <w:p w14:paraId="4E69E449" w14:textId="77777777" w:rsidR="00C27046" w:rsidRDefault="00C27046" w:rsidP="00C27046">
                      <w:pPr>
                        <w:jc w:val="both"/>
                      </w:pPr>
                      <w:r>
                        <w:rPr>
                          <w:noProof/>
                        </w:rPr>
                        <w:drawing>
                          <wp:inline distT="114300" distB="114300" distL="114300" distR="114300" wp14:anchorId="3FE6BEC6" wp14:editId="2ED17662">
                            <wp:extent cx="3035300" cy="2355215"/>
                            <wp:effectExtent l="0" t="0" r="0" b="6985"/>
                            <wp:docPr id="7" name="image4.jpg" descr="A picture containing text, invertebrate, branchiopod crustacean, arthropod&#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4.jpg" descr="A picture containing text, invertebrate, branchiopod crustacean, arthropod&#10;&#10;Description automatically generated"/>
                                    <pic:cNvPicPr preferRelativeResize="0"/>
                                  </pic:nvPicPr>
                                  <pic:blipFill>
                                    <a:blip r:embed="rId6"/>
                                    <a:srcRect/>
                                    <a:stretch>
                                      <a:fillRect/>
                                    </a:stretch>
                                  </pic:blipFill>
                                  <pic:spPr>
                                    <a:xfrm>
                                      <a:off x="0" y="0"/>
                                      <a:ext cx="3080210" cy="2390063"/>
                                    </a:xfrm>
                                    <a:prstGeom prst="rect">
                                      <a:avLst/>
                                    </a:prstGeom>
                                    <a:ln/>
                                  </pic:spPr>
                                </pic:pic>
                              </a:graphicData>
                            </a:graphic>
                          </wp:inline>
                        </w:drawing>
                      </w:r>
                    </w:p>
                    <w:p w14:paraId="4F67AC4B" w14:textId="77777777" w:rsidR="00C27046" w:rsidRPr="00C27046" w:rsidRDefault="00C27046" w:rsidP="00C27046">
                      <w:pPr>
                        <w:jc w:val="both"/>
                        <w:rPr>
                          <w:b/>
                          <w:sz w:val="16"/>
                          <w:szCs w:val="16"/>
                        </w:rPr>
                      </w:pPr>
                      <w:r w:rsidRPr="00C27046">
                        <w:rPr>
                          <w:b/>
                          <w:sz w:val="16"/>
                          <w:szCs w:val="16"/>
                        </w:rPr>
                        <w:t>Figure 1: Initial head CT without contrast</w:t>
                      </w:r>
                    </w:p>
                    <w:p w14:paraId="5749A90A" w14:textId="28DB59F3" w:rsidR="00C27046" w:rsidRPr="00C27046" w:rsidRDefault="00C27046" w:rsidP="00C27046">
                      <w:pPr>
                        <w:rPr>
                          <w:sz w:val="16"/>
                          <w:szCs w:val="16"/>
                        </w:rPr>
                      </w:pPr>
                      <w:r w:rsidRPr="00C27046">
                        <w:rPr>
                          <w:sz w:val="16"/>
                          <w:szCs w:val="16"/>
                        </w:rPr>
                        <w:t xml:space="preserve">Extensive intraventricular hemorrhage in the right and left lateral ventricles as well as the third and fourth ventricles (not shown in image).  Extension of hemorrhage into the right sylvian cistern, basal </w:t>
                      </w:r>
                      <w:r w:rsidRPr="00C27046">
                        <w:rPr>
                          <w:sz w:val="16"/>
                          <w:szCs w:val="16"/>
                        </w:rPr>
                        <w:t>cistern,</w:t>
                      </w:r>
                      <w:r w:rsidRPr="00C27046">
                        <w:rPr>
                          <w:sz w:val="16"/>
                          <w:szCs w:val="16"/>
                        </w:rPr>
                        <w:t xml:space="preserve"> and right ambient cistern.</w:t>
                      </w:r>
                    </w:p>
                    <w:p w14:paraId="1C8C9BDF" w14:textId="23960C7D" w:rsidR="00C27046" w:rsidRDefault="00C27046"/>
                  </w:txbxContent>
                </v:textbox>
                <w10:wrap type="square" anchorx="margin"/>
              </v:shape>
            </w:pict>
          </mc:Fallback>
        </mc:AlternateContent>
      </w:r>
      <w:r w:rsidR="00C27046" w:rsidRPr="001553D6">
        <w:rPr>
          <w:b/>
          <w:bCs/>
          <w:highlight w:val="white"/>
        </w:rPr>
        <w:t>Abstract:</w:t>
      </w:r>
    </w:p>
    <w:p w14:paraId="6D964B90" w14:textId="11A3D5C4" w:rsidR="00306BE7" w:rsidRDefault="001553D6" w:rsidP="000C3E14">
      <w:pPr>
        <w:jc w:val="both"/>
        <w:rPr>
          <w:sz w:val="20"/>
          <w:szCs w:val="20"/>
          <w:highlight w:val="white"/>
        </w:rPr>
      </w:pPr>
      <w:r w:rsidRPr="001553D6">
        <w:rPr>
          <w:b/>
          <w:bCs/>
          <w:noProof/>
          <w:highlight w:val="white"/>
        </w:rPr>
        <mc:AlternateContent>
          <mc:Choice Requires="wps">
            <w:drawing>
              <wp:anchor distT="45720" distB="45720" distL="114300" distR="114300" simplePos="0" relativeHeight="251661312" behindDoc="0" locked="0" layoutInCell="1" allowOverlap="1" wp14:anchorId="02634070" wp14:editId="2A78C140">
                <wp:simplePos x="0" y="0"/>
                <wp:positionH relativeFrom="margin">
                  <wp:posOffset>2730500</wp:posOffset>
                </wp:positionH>
                <wp:positionV relativeFrom="paragraph">
                  <wp:posOffset>3230880</wp:posOffset>
                </wp:positionV>
                <wp:extent cx="3517900" cy="3530600"/>
                <wp:effectExtent l="0" t="0" r="25400" b="1270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7900" cy="3530600"/>
                        </a:xfrm>
                        <a:prstGeom prst="rect">
                          <a:avLst/>
                        </a:prstGeom>
                        <a:solidFill>
                          <a:srgbClr val="FFFFFF"/>
                        </a:solidFill>
                        <a:ln w="9525">
                          <a:solidFill>
                            <a:srgbClr val="000000"/>
                          </a:solidFill>
                          <a:miter lim="800000"/>
                          <a:headEnd/>
                          <a:tailEnd/>
                        </a:ln>
                      </wps:spPr>
                      <wps:txbx>
                        <w:txbxContent>
                          <w:p w14:paraId="51F9275A" w14:textId="622989E0" w:rsidR="00C27046" w:rsidRPr="001553D6" w:rsidRDefault="00C27046" w:rsidP="00C27046">
                            <w:pPr>
                              <w:ind w:left="720" w:hanging="360"/>
                              <w:jc w:val="center"/>
                              <w:rPr>
                                <w:b/>
                                <w:bCs/>
                              </w:rPr>
                            </w:pPr>
                            <w:r w:rsidRPr="001553D6">
                              <w:rPr>
                                <w:b/>
                                <w:bCs/>
                              </w:rPr>
                              <w:t>References</w:t>
                            </w:r>
                          </w:p>
                          <w:p w14:paraId="496BE0EC" w14:textId="77777777" w:rsidR="00C27046" w:rsidRPr="00C27046" w:rsidRDefault="00C27046" w:rsidP="00C27046">
                            <w:pPr>
                              <w:numPr>
                                <w:ilvl w:val="0"/>
                                <w:numId w:val="1"/>
                              </w:numPr>
                              <w:jc w:val="both"/>
                              <w:rPr>
                                <w:sz w:val="16"/>
                                <w:szCs w:val="16"/>
                                <w:highlight w:val="white"/>
                              </w:rPr>
                            </w:pPr>
                            <w:proofErr w:type="spellStart"/>
                            <w:r w:rsidRPr="00C27046">
                              <w:rPr>
                                <w:sz w:val="16"/>
                                <w:szCs w:val="16"/>
                                <w:highlight w:val="white"/>
                              </w:rPr>
                              <w:t>Ghali</w:t>
                            </w:r>
                            <w:proofErr w:type="spellEnd"/>
                            <w:r w:rsidRPr="00C27046">
                              <w:rPr>
                                <w:sz w:val="16"/>
                                <w:szCs w:val="16"/>
                                <w:highlight w:val="white"/>
                              </w:rPr>
                              <w:t xml:space="preserve">, Michael George </w:t>
                            </w:r>
                            <w:proofErr w:type="spellStart"/>
                            <w:r w:rsidRPr="00C27046">
                              <w:rPr>
                                <w:sz w:val="16"/>
                                <w:szCs w:val="16"/>
                                <w:highlight w:val="white"/>
                              </w:rPr>
                              <w:t>Zaki</w:t>
                            </w:r>
                            <w:proofErr w:type="spellEnd"/>
                            <w:r w:rsidRPr="00C27046">
                              <w:rPr>
                                <w:sz w:val="16"/>
                                <w:szCs w:val="16"/>
                                <w:highlight w:val="white"/>
                              </w:rPr>
                              <w:t xml:space="preserve"> et al. “Anterior Choroidal Artery Aneurysms: Influence of Regional Microsurgical Anatomy on Safety of Endovascular Treatment.” </w:t>
                            </w:r>
                            <w:r w:rsidRPr="00C27046">
                              <w:rPr>
                                <w:i/>
                                <w:sz w:val="16"/>
                                <w:szCs w:val="16"/>
                                <w:highlight w:val="white"/>
                              </w:rPr>
                              <w:t>Journal of cerebrovascular and endovascular neurosurgery</w:t>
                            </w:r>
                            <w:r w:rsidRPr="00C27046">
                              <w:rPr>
                                <w:sz w:val="16"/>
                                <w:szCs w:val="16"/>
                                <w:highlight w:val="white"/>
                              </w:rPr>
                              <w:t xml:space="preserve"> vol. 20,1 (2018): 47-52. doi:10.7461/jcen.2018.20.1.47</w:t>
                            </w:r>
                          </w:p>
                          <w:p w14:paraId="4AA0A1C3" w14:textId="77777777" w:rsidR="00C27046" w:rsidRPr="00C27046" w:rsidRDefault="00C27046" w:rsidP="00C27046">
                            <w:pPr>
                              <w:numPr>
                                <w:ilvl w:val="0"/>
                                <w:numId w:val="1"/>
                              </w:numPr>
                              <w:jc w:val="both"/>
                              <w:rPr>
                                <w:sz w:val="16"/>
                                <w:szCs w:val="16"/>
                                <w:highlight w:val="white"/>
                              </w:rPr>
                            </w:pPr>
                            <w:r w:rsidRPr="00C27046">
                              <w:rPr>
                                <w:sz w:val="16"/>
                                <w:szCs w:val="16"/>
                                <w:highlight w:val="white"/>
                              </w:rPr>
                              <w:t xml:space="preserve">Yu, Jing et al. “Clinical importance of the anterior choroidal artery: a review of the literature.” </w:t>
                            </w:r>
                            <w:r w:rsidRPr="00C27046">
                              <w:rPr>
                                <w:i/>
                                <w:sz w:val="16"/>
                                <w:szCs w:val="16"/>
                                <w:highlight w:val="white"/>
                              </w:rPr>
                              <w:t>International journal of medical sciences</w:t>
                            </w:r>
                            <w:r w:rsidRPr="00C27046">
                              <w:rPr>
                                <w:sz w:val="16"/>
                                <w:szCs w:val="16"/>
                                <w:highlight w:val="white"/>
                              </w:rPr>
                              <w:t xml:space="preserve"> vol. 15,4 368-375. 12 Feb. 2018, doi:10.7150/ijms.22631</w:t>
                            </w:r>
                          </w:p>
                          <w:p w14:paraId="0F6AA27D" w14:textId="77777777" w:rsidR="00C27046" w:rsidRPr="00C27046" w:rsidRDefault="00C27046" w:rsidP="00C27046">
                            <w:pPr>
                              <w:numPr>
                                <w:ilvl w:val="0"/>
                                <w:numId w:val="1"/>
                              </w:numPr>
                              <w:jc w:val="both"/>
                              <w:rPr>
                                <w:sz w:val="16"/>
                                <w:szCs w:val="16"/>
                                <w:highlight w:val="white"/>
                              </w:rPr>
                            </w:pPr>
                            <w:r w:rsidRPr="00C27046">
                              <w:rPr>
                                <w:sz w:val="16"/>
                                <w:szCs w:val="16"/>
                                <w:highlight w:val="white"/>
                              </w:rPr>
                              <w:t xml:space="preserve">Zhang, </w:t>
                            </w:r>
                            <w:proofErr w:type="spellStart"/>
                            <w:r w:rsidRPr="00C27046">
                              <w:rPr>
                                <w:sz w:val="16"/>
                                <w:szCs w:val="16"/>
                                <w:highlight w:val="white"/>
                              </w:rPr>
                              <w:t>Nai</w:t>
                            </w:r>
                            <w:proofErr w:type="spellEnd"/>
                            <w:r w:rsidRPr="00C27046">
                              <w:rPr>
                                <w:sz w:val="16"/>
                                <w:szCs w:val="16"/>
                                <w:highlight w:val="white"/>
                              </w:rPr>
                              <w:t xml:space="preserve"> et al. “Using a New Landmark of the Most External Point in the Embolization of Distal Anterior Choroidal Aneurysms: A Report of Two Cases.” </w:t>
                            </w:r>
                            <w:r w:rsidRPr="00C27046">
                              <w:rPr>
                                <w:i/>
                                <w:sz w:val="16"/>
                                <w:szCs w:val="16"/>
                                <w:highlight w:val="white"/>
                              </w:rPr>
                              <w:t>Frontiers in neurology</w:t>
                            </w:r>
                            <w:r w:rsidRPr="00C27046">
                              <w:rPr>
                                <w:sz w:val="16"/>
                                <w:szCs w:val="16"/>
                                <w:highlight w:val="white"/>
                              </w:rPr>
                              <w:t xml:space="preserve"> vol. 11 693. 31 Jul. 2020, doi:10.3389/fneur.2020.00693</w:t>
                            </w:r>
                          </w:p>
                          <w:p w14:paraId="08E8576D" w14:textId="77777777" w:rsidR="00C27046" w:rsidRPr="00C27046" w:rsidRDefault="00C27046" w:rsidP="00C27046">
                            <w:pPr>
                              <w:numPr>
                                <w:ilvl w:val="0"/>
                                <w:numId w:val="1"/>
                              </w:numPr>
                              <w:jc w:val="both"/>
                              <w:rPr>
                                <w:sz w:val="16"/>
                                <w:szCs w:val="16"/>
                                <w:highlight w:val="white"/>
                              </w:rPr>
                            </w:pPr>
                            <w:r w:rsidRPr="00C27046">
                              <w:rPr>
                                <w:sz w:val="16"/>
                                <w:szCs w:val="16"/>
                                <w:highlight w:val="white"/>
                              </w:rPr>
                              <w:t xml:space="preserve">Rutledge, Caleb et al. “Transcortical </w:t>
                            </w:r>
                            <w:proofErr w:type="spellStart"/>
                            <w:r w:rsidRPr="00C27046">
                              <w:rPr>
                                <w:sz w:val="16"/>
                                <w:szCs w:val="16"/>
                                <w:highlight w:val="white"/>
                              </w:rPr>
                              <w:t>transventricular</w:t>
                            </w:r>
                            <w:proofErr w:type="spellEnd"/>
                            <w:r w:rsidRPr="00C27046">
                              <w:rPr>
                                <w:sz w:val="16"/>
                                <w:szCs w:val="16"/>
                                <w:highlight w:val="white"/>
                              </w:rPr>
                              <w:t xml:space="preserve"> </w:t>
                            </w:r>
                            <w:proofErr w:type="spellStart"/>
                            <w:r w:rsidRPr="00C27046">
                              <w:rPr>
                                <w:sz w:val="16"/>
                                <w:szCs w:val="16"/>
                                <w:highlight w:val="white"/>
                              </w:rPr>
                              <w:t>transchoroidal</w:t>
                            </w:r>
                            <w:proofErr w:type="spellEnd"/>
                            <w:r w:rsidRPr="00C27046">
                              <w:rPr>
                                <w:sz w:val="16"/>
                                <w:szCs w:val="16"/>
                                <w:highlight w:val="white"/>
                              </w:rPr>
                              <w:t xml:space="preserve">-fissure approach to distal fusiform hyperplastic anterior choroidal artery aneurysms.” </w:t>
                            </w:r>
                            <w:r w:rsidRPr="00C27046">
                              <w:rPr>
                                <w:i/>
                                <w:sz w:val="16"/>
                                <w:szCs w:val="16"/>
                                <w:highlight w:val="white"/>
                              </w:rPr>
                              <w:t>British journal of neurosurgery</w:t>
                            </w:r>
                            <w:r w:rsidRPr="00C27046">
                              <w:rPr>
                                <w:sz w:val="16"/>
                                <w:szCs w:val="16"/>
                                <w:highlight w:val="white"/>
                              </w:rPr>
                              <w:t>, 1-5. 22 Apr. 2019, doi:10.1080/02688697.2019.1594691</w:t>
                            </w:r>
                          </w:p>
                          <w:p w14:paraId="546EA50C" w14:textId="77777777" w:rsidR="00C27046" w:rsidRPr="00C27046" w:rsidRDefault="00C27046" w:rsidP="00C27046">
                            <w:pPr>
                              <w:numPr>
                                <w:ilvl w:val="0"/>
                                <w:numId w:val="1"/>
                              </w:numPr>
                              <w:jc w:val="both"/>
                              <w:rPr>
                                <w:sz w:val="16"/>
                                <w:szCs w:val="16"/>
                                <w:highlight w:val="white"/>
                              </w:rPr>
                            </w:pPr>
                            <w:proofErr w:type="spellStart"/>
                            <w:r w:rsidRPr="00C27046">
                              <w:rPr>
                                <w:sz w:val="16"/>
                                <w:szCs w:val="16"/>
                                <w:highlight w:val="white"/>
                              </w:rPr>
                              <w:t>Feijoo</w:t>
                            </w:r>
                            <w:proofErr w:type="spellEnd"/>
                            <w:r w:rsidRPr="00C27046">
                              <w:rPr>
                                <w:sz w:val="16"/>
                                <w:szCs w:val="16"/>
                                <w:highlight w:val="white"/>
                              </w:rPr>
                              <w:t>, Pablo García et al. “Management of a ruptured intraventricular aneurysm arising from distal anterior choroidal artery (</w:t>
                            </w:r>
                            <w:proofErr w:type="spellStart"/>
                            <w:r w:rsidRPr="00C27046">
                              <w:rPr>
                                <w:sz w:val="16"/>
                                <w:szCs w:val="16"/>
                                <w:highlight w:val="white"/>
                              </w:rPr>
                              <w:t>AChA</w:t>
                            </w:r>
                            <w:proofErr w:type="spellEnd"/>
                            <w:r w:rsidRPr="00C27046">
                              <w:rPr>
                                <w:sz w:val="16"/>
                                <w:szCs w:val="16"/>
                                <w:highlight w:val="white"/>
                              </w:rPr>
                              <w:t xml:space="preserve">): pediatric case report.” </w:t>
                            </w:r>
                            <w:r w:rsidRPr="00C27046">
                              <w:rPr>
                                <w:i/>
                                <w:sz w:val="16"/>
                                <w:szCs w:val="16"/>
                                <w:highlight w:val="white"/>
                              </w:rPr>
                              <w:t xml:space="preserve">Child's nervous </w:t>
                            </w:r>
                            <w:proofErr w:type="gramStart"/>
                            <w:r w:rsidRPr="00C27046">
                              <w:rPr>
                                <w:i/>
                                <w:sz w:val="16"/>
                                <w:szCs w:val="16"/>
                                <w:highlight w:val="white"/>
                              </w:rPr>
                              <w:t>system :</w:t>
                            </w:r>
                            <w:proofErr w:type="gramEnd"/>
                            <w:r w:rsidRPr="00C27046">
                              <w:rPr>
                                <w:i/>
                                <w:sz w:val="16"/>
                                <w:szCs w:val="16"/>
                                <w:highlight w:val="white"/>
                              </w:rPr>
                              <w:t xml:space="preserve"> </w:t>
                            </w:r>
                            <w:proofErr w:type="spellStart"/>
                            <w:r w:rsidRPr="00C27046">
                              <w:rPr>
                                <w:i/>
                                <w:sz w:val="16"/>
                                <w:szCs w:val="16"/>
                                <w:highlight w:val="white"/>
                              </w:rPr>
                              <w:t>ChNS</w:t>
                            </w:r>
                            <w:proofErr w:type="spellEnd"/>
                            <w:r w:rsidRPr="00C27046">
                              <w:rPr>
                                <w:i/>
                                <w:sz w:val="16"/>
                                <w:szCs w:val="16"/>
                                <w:highlight w:val="white"/>
                              </w:rPr>
                              <w:t xml:space="preserve"> : official journal of the International Society for Pediatric Neurosurgery</w:t>
                            </w:r>
                            <w:r w:rsidRPr="00C27046">
                              <w:rPr>
                                <w:sz w:val="16"/>
                                <w:szCs w:val="16"/>
                                <w:highlight w:val="white"/>
                              </w:rPr>
                              <w:t xml:space="preserve"> vol. 37,5 (2021): 1791-1796. doi:10.1007/s00381-020-04888-w</w:t>
                            </w:r>
                          </w:p>
                          <w:p w14:paraId="6BC8706F" w14:textId="4FCD3D9F" w:rsidR="00C27046" w:rsidRDefault="00C2704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634070" id="_x0000_s1028" type="#_x0000_t202" style="position:absolute;left:0;text-align:left;margin-left:215pt;margin-top:254.4pt;width:277pt;height:278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">
                <v:textbox>
                  <w:txbxContent>
                    <w:p w14:paraId="51F9275A" w14:textId="622989E0" w:rsidR="00C27046" w:rsidRPr="001553D6" w:rsidRDefault="00C27046" w:rsidP="00C27046">
                      <w:pPr>
                        <w:ind w:left="720" w:hanging="360"/>
                        <w:jc w:val="center"/>
                        <w:rPr>
                          <w:b/>
                          <w:bCs/>
                        </w:rPr>
                      </w:pPr>
                      <w:r w:rsidRPr="001553D6">
                        <w:rPr>
                          <w:b/>
                          <w:bCs/>
                        </w:rPr>
                        <w:t>References</w:t>
                      </w:r>
                    </w:p>
                    <w:p w14:paraId="496BE0EC" w14:textId="77777777" w:rsidR="00C27046" w:rsidRPr="00C27046" w:rsidRDefault="00C27046" w:rsidP="00C27046">
                      <w:pPr>
                        <w:numPr>
                          <w:ilvl w:val="0"/>
                          <w:numId w:val="1"/>
                        </w:numPr>
                        <w:jc w:val="both"/>
                        <w:rPr>
                          <w:sz w:val="16"/>
                          <w:szCs w:val="16"/>
                          <w:highlight w:val="white"/>
                        </w:rPr>
                      </w:pPr>
                      <w:r w:rsidRPr="00C27046">
                        <w:rPr>
                          <w:sz w:val="16"/>
                          <w:szCs w:val="16"/>
                          <w:highlight w:val="white"/>
                        </w:rPr>
                        <w:t xml:space="preserve">Ghali, Michael George Zaki et al. “Anterior Choroidal Artery Aneurysms: Influence of Regional Microsurgical Anatomy on Safety of Endovascular Treatment.” </w:t>
                      </w:r>
                      <w:r w:rsidRPr="00C27046">
                        <w:rPr>
                          <w:i/>
                          <w:sz w:val="16"/>
                          <w:szCs w:val="16"/>
                          <w:highlight w:val="white"/>
                        </w:rPr>
                        <w:t>Journal of cerebrovascular and endovascular neurosurgery</w:t>
                      </w:r>
                      <w:r w:rsidRPr="00C27046">
                        <w:rPr>
                          <w:sz w:val="16"/>
                          <w:szCs w:val="16"/>
                          <w:highlight w:val="white"/>
                        </w:rPr>
                        <w:t xml:space="preserve"> vol. 20,1 (2018): 47-52. doi:10.7461/jcen.2018.20.1.47</w:t>
                      </w:r>
                    </w:p>
                    <w:p w14:paraId="4AA0A1C3" w14:textId="77777777" w:rsidR="00C27046" w:rsidRPr="00C27046" w:rsidRDefault="00C27046" w:rsidP="00C27046">
                      <w:pPr>
                        <w:numPr>
                          <w:ilvl w:val="0"/>
                          <w:numId w:val="1"/>
                        </w:numPr>
                        <w:jc w:val="both"/>
                        <w:rPr>
                          <w:sz w:val="16"/>
                          <w:szCs w:val="16"/>
                          <w:highlight w:val="white"/>
                        </w:rPr>
                      </w:pPr>
                      <w:r w:rsidRPr="00C27046">
                        <w:rPr>
                          <w:sz w:val="16"/>
                          <w:szCs w:val="16"/>
                          <w:highlight w:val="white"/>
                        </w:rPr>
                        <w:t xml:space="preserve">Yu, Jing et al. “Clinical importance of the anterior choroidal artery: a review of the literature.” </w:t>
                      </w:r>
                      <w:r w:rsidRPr="00C27046">
                        <w:rPr>
                          <w:i/>
                          <w:sz w:val="16"/>
                          <w:szCs w:val="16"/>
                          <w:highlight w:val="white"/>
                        </w:rPr>
                        <w:t>International journal of medical sciences</w:t>
                      </w:r>
                      <w:r w:rsidRPr="00C27046">
                        <w:rPr>
                          <w:sz w:val="16"/>
                          <w:szCs w:val="16"/>
                          <w:highlight w:val="white"/>
                        </w:rPr>
                        <w:t xml:space="preserve"> vol. 15,4 368-375. 12 Feb. 2018, doi:10.7150/ijms.22631</w:t>
                      </w:r>
                    </w:p>
                    <w:p w14:paraId="0F6AA27D" w14:textId="77777777" w:rsidR="00C27046" w:rsidRPr="00C27046" w:rsidRDefault="00C27046" w:rsidP="00C27046">
                      <w:pPr>
                        <w:numPr>
                          <w:ilvl w:val="0"/>
                          <w:numId w:val="1"/>
                        </w:numPr>
                        <w:jc w:val="both"/>
                        <w:rPr>
                          <w:sz w:val="16"/>
                          <w:szCs w:val="16"/>
                          <w:highlight w:val="white"/>
                        </w:rPr>
                      </w:pPr>
                      <w:r w:rsidRPr="00C27046">
                        <w:rPr>
                          <w:sz w:val="16"/>
                          <w:szCs w:val="16"/>
                          <w:highlight w:val="white"/>
                        </w:rPr>
                        <w:t xml:space="preserve">Zhang, Nai et al. “Using a New Landmark of the Most External Point in the Embolization of Distal Anterior Choroidal Aneurysms: A Report of Two Cases.” </w:t>
                      </w:r>
                      <w:r w:rsidRPr="00C27046">
                        <w:rPr>
                          <w:i/>
                          <w:sz w:val="16"/>
                          <w:szCs w:val="16"/>
                          <w:highlight w:val="white"/>
                        </w:rPr>
                        <w:t>Frontiers in neurology</w:t>
                      </w:r>
                      <w:r w:rsidRPr="00C27046">
                        <w:rPr>
                          <w:sz w:val="16"/>
                          <w:szCs w:val="16"/>
                          <w:highlight w:val="white"/>
                        </w:rPr>
                        <w:t xml:space="preserve"> vol. 11 693. 31 Jul. 2020, doi:10.3389/fneur.2020.00693</w:t>
                      </w:r>
                    </w:p>
                    <w:p w14:paraId="08E8576D" w14:textId="77777777" w:rsidR="00C27046" w:rsidRPr="00C27046" w:rsidRDefault="00C27046" w:rsidP="00C27046">
                      <w:pPr>
                        <w:numPr>
                          <w:ilvl w:val="0"/>
                          <w:numId w:val="1"/>
                        </w:numPr>
                        <w:jc w:val="both"/>
                        <w:rPr>
                          <w:sz w:val="16"/>
                          <w:szCs w:val="16"/>
                          <w:highlight w:val="white"/>
                        </w:rPr>
                      </w:pPr>
                      <w:r w:rsidRPr="00C27046">
                        <w:rPr>
                          <w:sz w:val="16"/>
                          <w:szCs w:val="16"/>
                          <w:highlight w:val="white"/>
                        </w:rPr>
                        <w:t xml:space="preserve">Rutledge, Caleb et al. “Transcortical transventricular transchoroidal-fissure approach to distal fusiform hyperplastic anterior choroidal artery aneurysms.” </w:t>
                      </w:r>
                      <w:r w:rsidRPr="00C27046">
                        <w:rPr>
                          <w:i/>
                          <w:sz w:val="16"/>
                          <w:szCs w:val="16"/>
                          <w:highlight w:val="white"/>
                        </w:rPr>
                        <w:t>British journal of neurosurgery</w:t>
                      </w:r>
                      <w:r w:rsidRPr="00C27046">
                        <w:rPr>
                          <w:sz w:val="16"/>
                          <w:szCs w:val="16"/>
                          <w:highlight w:val="white"/>
                        </w:rPr>
                        <w:t>, 1-5. 22 Apr. 2019, doi:10.1080/02688697.2019.1594691</w:t>
                      </w:r>
                    </w:p>
                    <w:p w14:paraId="546EA50C" w14:textId="77777777" w:rsidR="00C27046" w:rsidRPr="00C27046" w:rsidRDefault="00C27046" w:rsidP="00C27046">
                      <w:pPr>
                        <w:numPr>
                          <w:ilvl w:val="0"/>
                          <w:numId w:val="1"/>
                        </w:numPr>
                        <w:jc w:val="both"/>
                        <w:rPr>
                          <w:sz w:val="16"/>
                          <w:szCs w:val="16"/>
                          <w:highlight w:val="white"/>
                        </w:rPr>
                      </w:pPr>
                      <w:r w:rsidRPr="00C27046">
                        <w:rPr>
                          <w:sz w:val="16"/>
                          <w:szCs w:val="16"/>
                          <w:highlight w:val="white"/>
                        </w:rPr>
                        <w:t xml:space="preserve">Feijoo, Pablo García et al. “Management of a ruptured intraventricular aneurysm arising from distal anterior choroidal artery (AChA): pediatric case report.” </w:t>
                      </w:r>
                      <w:r w:rsidRPr="00C27046">
                        <w:rPr>
                          <w:i/>
                          <w:sz w:val="16"/>
                          <w:szCs w:val="16"/>
                          <w:highlight w:val="white"/>
                        </w:rPr>
                        <w:t>Child's nervous system : ChNS : official journal of the International Society for Pediatric Neurosurgery</w:t>
                      </w:r>
                      <w:r w:rsidRPr="00C27046">
                        <w:rPr>
                          <w:sz w:val="16"/>
                          <w:szCs w:val="16"/>
                          <w:highlight w:val="white"/>
                        </w:rPr>
                        <w:t xml:space="preserve"> vol. 37,5 (2021): 1791-1796. doi:10.1007/s00381-020-04888-w</w:t>
                      </w:r>
                    </w:p>
                    <w:p w14:paraId="6BC8706F" w14:textId="4FCD3D9F" w:rsidR="00C27046" w:rsidRDefault="00C27046"/>
                  </w:txbxContent>
                </v:textbox>
                <w10:wrap type="square" anchorx="margin"/>
              </v:shape>
            </w:pict>
          </mc:Fallback>
        </mc:AlternateContent>
      </w:r>
    </w:p>
    <w:p w14:paraId="7B448901" w14:textId="77777777" w:rsidR="001553D6" w:rsidRDefault="001553D6" w:rsidP="000C3E14">
      <w:pPr>
        <w:jc w:val="both"/>
        <w:rPr>
          <w:b/>
          <w:bCs/>
          <w:highlight w:val="white"/>
        </w:rPr>
      </w:pPr>
    </w:p>
    <w:p w14:paraId="79F81D36" w14:textId="77777777" w:rsidR="001553D6" w:rsidRDefault="001553D6" w:rsidP="000C3E14">
      <w:pPr>
        <w:jc w:val="both"/>
        <w:rPr>
          <w:b/>
          <w:bCs/>
          <w:highlight w:val="white"/>
        </w:rPr>
      </w:pPr>
    </w:p>
    <w:p w14:paraId="27DC0596" w14:textId="77777777" w:rsidR="001553D6" w:rsidRDefault="001553D6" w:rsidP="000C3E14">
      <w:pPr>
        <w:jc w:val="both"/>
        <w:rPr>
          <w:b/>
          <w:bCs/>
          <w:highlight w:val="white"/>
        </w:rPr>
      </w:pPr>
    </w:p>
    <w:p w14:paraId="297F3A95" w14:textId="77777777" w:rsidR="001553D6" w:rsidRDefault="001553D6" w:rsidP="000C3E14">
      <w:pPr>
        <w:jc w:val="both"/>
        <w:rPr>
          <w:b/>
          <w:bCs/>
          <w:highlight w:val="white"/>
        </w:rPr>
      </w:pPr>
    </w:p>
    <w:p w14:paraId="7524E3E1" w14:textId="77777777" w:rsidR="001553D6" w:rsidRDefault="001553D6" w:rsidP="000C3E14">
      <w:pPr>
        <w:jc w:val="both"/>
        <w:rPr>
          <w:b/>
          <w:bCs/>
          <w:highlight w:val="white"/>
        </w:rPr>
      </w:pPr>
    </w:p>
    <w:p w14:paraId="7BD55165" w14:textId="77777777" w:rsidR="001553D6" w:rsidRDefault="001553D6" w:rsidP="000C3E14">
      <w:pPr>
        <w:jc w:val="both"/>
        <w:rPr>
          <w:b/>
          <w:bCs/>
          <w:highlight w:val="white"/>
        </w:rPr>
      </w:pPr>
    </w:p>
    <w:p w14:paraId="49B41F61" w14:textId="77777777" w:rsidR="001553D6" w:rsidRDefault="001553D6" w:rsidP="000C3E14">
      <w:pPr>
        <w:jc w:val="both"/>
        <w:rPr>
          <w:b/>
          <w:bCs/>
          <w:highlight w:val="white"/>
        </w:rPr>
      </w:pPr>
    </w:p>
    <w:p w14:paraId="02319A58" w14:textId="77777777" w:rsidR="001553D6" w:rsidRDefault="001553D6" w:rsidP="000C3E14">
      <w:pPr>
        <w:jc w:val="both"/>
        <w:rPr>
          <w:b/>
          <w:bCs/>
          <w:highlight w:val="white"/>
        </w:rPr>
      </w:pPr>
    </w:p>
    <w:p w14:paraId="067CC361" w14:textId="77777777" w:rsidR="001553D6" w:rsidRDefault="001553D6" w:rsidP="000C3E14">
      <w:pPr>
        <w:jc w:val="both"/>
        <w:rPr>
          <w:b/>
          <w:bCs/>
          <w:highlight w:val="white"/>
        </w:rPr>
      </w:pPr>
    </w:p>
    <w:p w14:paraId="61007F30" w14:textId="1303B52B" w:rsidR="00C27046" w:rsidRDefault="001553D6" w:rsidP="000C3E14">
      <w:pPr>
        <w:jc w:val="both"/>
        <w:rPr>
          <w:sz w:val="16"/>
          <w:szCs w:val="16"/>
          <w:highlight w:val="white"/>
        </w:rPr>
      </w:pPr>
      <w:r w:rsidRPr="001553D6">
        <w:rPr>
          <w:b/>
          <w:bCs/>
          <w:highlight w:val="white"/>
        </w:rPr>
        <w:t>Biography:</w:t>
      </w:r>
      <w:r w:rsidRPr="000C3E14">
        <w:rPr>
          <w:sz w:val="20"/>
          <w:szCs w:val="20"/>
          <w:highlight w:val="white"/>
        </w:rPr>
        <w:t xml:space="preserve"> </w:t>
      </w:r>
      <w:r w:rsidRPr="001553D6">
        <w:rPr>
          <w:sz w:val="16"/>
          <w:szCs w:val="16"/>
          <w:highlight w:val="white"/>
        </w:rPr>
        <w:t>Karrar Aljiboori is a senior medical student at Michigan State University College of Human Medicine. His goal is to contribute to the advancement of the neurosurgical field. His interests include creation of surgical instruments, cerebrovascular neurosurgery, and general neurosurgery.</w:t>
      </w:r>
    </w:p>
    <w:p w14:paraId="704B704A" w14:textId="77777777" w:rsidR="00446B83" w:rsidRDefault="00446B83" w:rsidP="000C3E14">
      <w:pPr>
        <w:jc w:val="both"/>
        <w:rPr>
          <w:sz w:val="16"/>
          <w:szCs w:val="16"/>
          <w:highlight w:val="white"/>
        </w:rPr>
      </w:pPr>
    </w:p>
    <w:p w14:paraId="1049E56D" w14:textId="4AB3D6FC" w:rsidR="00446B83" w:rsidRPr="00446B83" w:rsidRDefault="00446B83" w:rsidP="000C3E14">
      <w:pPr>
        <w:jc w:val="both"/>
        <w:rPr>
          <w:color w:val="4472C4" w:themeColor="accent1"/>
          <w:sz w:val="16"/>
          <w:szCs w:val="16"/>
          <w:highlight w:val="white"/>
        </w:rPr>
      </w:pPr>
      <w:r w:rsidRPr="00446B83">
        <w:rPr>
          <w:color w:val="4472C4" w:themeColor="accent1"/>
          <w:sz w:val="16"/>
          <w:szCs w:val="16"/>
          <w:highlight w:val="white"/>
        </w:rPr>
        <w:t>E-mail: aljiboo1@msu.edu</w:t>
      </w:r>
    </w:p>
    <w:sectPr w:rsidR="00446B83" w:rsidRPr="00446B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DD7CD5"/>
    <w:multiLevelType w:val="multilevel"/>
    <w:tmpl w:val="7936A7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DA6"/>
    <w:rsid w:val="0001380A"/>
    <w:rsid w:val="000C3E14"/>
    <w:rsid w:val="001553D6"/>
    <w:rsid w:val="001F5DA6"/>
    <w:rsid w:val="00306BE7"/>
    <w:rsid w:val="003234CF"/>
    <w:rsid w:val="00446B83"/>
    <w:rsid w:val="00770E06"/>
    <w:rsid w:val="00BC65E6"/>
    <w:rsid w:val="00C270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CCB0C"/>
  <w15:chartTrackingRefBased/>
  <w15:docId w15:val="{DE8D855F-06FF-43AA-8B95-46177FB5D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DA6"/>
    <w:pPr>
      <w:spacing w:after="0" w:line="276" w:lineRule="auto"/>
    </w:pPr>
    <w:rPr>
      <w:rFonts w:ascii="Arial" w:eastAsia="Arial" w:hAnsi="Arial" w:cs="Arial"/>
      <w:lang w:val="en"/>
    </w:rPr>
  </w:style>
  <w:style w:type="paragraph" w:styleId="Heading1">
    <w:name w:val="heading 1"/>
    <w:basedOn w:val="Normal"/>
    <w:next w:val="Normal"/>
    <w:link w:val="Heading1Char"/>
    <w:uiPriority w:val="9"/>
    <w:qFormat/>
    <w:rsid w:val="00C2704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046"/>
    <w:rPr>
      <w:rFonts w:asciiTheme="majorHAnsi" w:eastAsiaTheme="majorEastAsia" w:hAnsiTheme="majorHAnsi" w:cstheme="majorBidi"/>
      <w:color w:val="2F5496" w:themeColor="accent1" w:themeShade="BF"/>
      <w:sz w:val="32"/>
      <w:szCs w:val="32"/>
      <w:lang w:val="en"/>
    </w:rPr>
  </w:style>
  <w:style w:type="paragraph" w:styleId="NoSpacing">
    <w:name w:val="No Spacing"/>
    <w:uiPriority w:val="1"/>
    <w:qFormat/>
    <w:rsid w:val="00C27046"/>
    <w:pPr>
      <w:spacing w:after="0" w:line="240" w:lineRule="auto"/>
    </w:pPr>
    <w:rPr>
      <w:rFonts w:ascii="Arial" w:eastAsia="Arial" w:hAnsi="Arial" w:cs="Arial"/>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105</Words>
  <Characters>603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karrar Aljiboori</dc:creator>
  <cp:keywords/>
  <dc:description/>
  <cp:lastModifiedBy>karrar Aljiboori</cp:lastModifiedBy>
  <cp:revision>6</cp:revision>
  <dcterms:created xsi:type="dcterms:W3CDTF">2021-09-15T01:45:00Z</dcterms:created>
  <dcterms:modified xsi:type="dcterms:W3CDTF">2021-09-15T02:34:00Z</dcterms:modified>
</cp:coreProperties>
</file>