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7A638" w14:textId="77777777" w:rsidR="00CE5068" w:rsidRPr="009D49B8" w:rsidRDefault="00CE5068" w:rsidP="00CE5068">
      <w:pPr>
        <w:jc w:val="both"/>
        <w:rPr>
          <w:rFonts w:eastAsia="MS PGothic"/>
          <w:b/>
          <w:color w:val="000000"/>
        </w:rPr>
      </w:pPr>
      <w:r w:rsidRPr="009D49B8">
        <w:rPr>
          <w:rFonts w:eastAsia="MS PGothic"/>
          <w:b/>
          <w:color w:val="000000"/>
        </w:rPr>
        <w:t xml:space="preserve">Title: </w:t>
      </w:r>
      <w:r>
        <w:rPr>
          <w:rFonts w:eastAsia="MS PGothic"/>
          <w:b/>
          <w:color w:val="000000"/>
        </w:rPr>
        <w:t>Swallowing Disorders in Myotonic Dystrophy Type 1</w:t>
      </w:r>
    </w:p>
    <w:p w14:paraId="7790661E" w14:textId="77777777" w:rsidR="00CE5068" w:rsidRPr="009D49B8" w:rsidRDefault="00CE5068" w:rsidP="00CE5068">
      <w:pPr>
        <w:jc w:val="both"/>
        <w:rPr>
          <w:rFonts w:eastAsia="MS PGothic"/>
          <w:color w:val="000000"/>
        </w:rPr>
      </w:pPr>
    </w:p>
    <w:p w14:paraId="79AA7A71" w14:textId="77777777" w:rsidR="00CE5068" w:rsidRPr="003C0794" w:rsidRDefault="00CE5068" w:rsidP="00CE5068">
      <w:pPr>
        <w:shd w:val="clear" w:color="auto" w:fill="FFFFFF"/>
        <w:spacing w:after="150"/>
        <w:jc w:val="both"/>
        <w:rPr>
          <w:sz w:val="19"/>
          <w:szCs w:val="19"/>
          <w:lang w:val="en-IN" w:eastAsia="en-IN"/>
        </w:rPr>
      </w:pPr>
      <w:r>
        <w:rPr>
          <w:b/>
          <w:bCs/>
          <w:sz w:val="19"/>
          <w:szCs w:val="19"/>
          <w:lang w:val="en-IN" w:eastAsia="en-IN"/>
        </w:rPr>
        <w:t>Diaz Borrego</w:t>
      </w:r>
      <w:r w:rsidRPr="0005164C">
        <w:rPr>
          <w:b/>
          <w:bCs/>
          <w:sz w:val="19"/>
          <w:szCs w:val="19"/>
          <w:lang w:val="en-IN" w:eastAsia="en-IN"/>
        </w:rPr>
        <w:t xml:space="preserve"> </w:t>
      </w:r>
      <w:r>
        <w:rPr>
          <w:b/>
          <w:bCs/>
          <w:sz w:val="19"/>
          <w:szCs w:val="19"/>
          <w:lang w:val="en-IN" w:eastAsia="en-IN"/>
        </w:rPr>
        <w:t>P</w:t>
      </w:r>
      <w:r w:rsidRPr="0005164C">
        <w:rPr>
          <w:b/>
          <w:bCs/>
          <w:sz w:val="19"/>
          <w:szCs w:val="19"/>
          <w:vertAlign w:val="superscript"/>
          <w:lang w:val="en-IN" w:eastAsia="en-IN"/>
        </w:rPr>
        <w:t>1</w:t>
      </w:r>
    </w:p>
    <w:p w14:paraId="1C284766" w14:textId="77777777" w:rsidR="00CE5068" w:rsidRPr="00E45887" w:rsidRDefault="00CE5068" w:rsidP="00CE5068">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Pr>
          <w:sz w:val="19"/>
          <w:szCs w:val="19"/>
          <w:lang w:val="en-IN" w:eastAsia="en-IN"/>
        </w:rPr>
        <w:t>Physical Medicine and Rehabilitation</w:t>
      </w:r>
      <w:r w:rsidRPr="00351E9B">
        <w:rPr>
          <w:sz w:val="19"/>
          <w:szCs w:val="19"/>
          <w:lang w:val="en-IN" w:eastAsia="en-IN"/>
        </w:rPr>
        <w:t xml:space="preserve">, </w:t>
      </w:r>
      <w:r>
        <w:rPr>
          <w:sz w:val="19"/>
          <w:szCs w:val="19"/>
          <w:lang w:val="en-IN" w:eastAsia="en-IN"/>
        </w:rPr>
        <w:t>Virgen Macarena University Hospital</w:t>
      </w:r>
      <w:r w:rsidRPr="00351E9B">
        <w:rPr>
          <w:sz w:val="19"/>
          <w:szCs w:val="19"/>
          <w:lang w:val="en-IN" w:eastAsia="en-IN"/>
        </w:rPr>
        <w:t xml:space="preserve">, </w:t>
      </w:r>
      <w:r>
        <w:rPr>
          <w:sz w:val="19"/>
          <w:szCs w:val="19"/>
          <w:lang w:val="en-IN" w:eastAsia="en-IN"/>
        </w:rPr>
        <w:t>Seville</w:t>
      </w:r>
      <w:r w:rsidRPr="00351E9B">
        <w:rPr>
          <w:sz w:val="19"/>
          <w:szCs w:val="19"/>
          <w:lang w:val="en-IN" w:eastAsia="en-IN"/>
        </w:rPr>
        <w:t xml:space="preserve">, </w:t>
      </w:r>
      <w:r>
        <w:rPr>
          <w:sz w:val="19"/>
          <w:szCs w:val="19"/>
          <w:lang w:val="en-IN" w:eastAsia="en-IN"/>
        </w:rPr>
        <w:t>Spain</w:t>
      </w:r>
    </w:p>
    <w:p w14:paraId="53141EE0" w14:textId="77777777" w:rsidR="00AE3E37" w:rsidRDefault="00AE3E37">
      <w:pPr>
        <w:pStyle w:val="Textoindependiente"/>
        <w:rPr>
          <w:rFonts w:ascii="Arial"/>
          <w:sz w:val="20"/>
        </w:rPr>
      </w:pPr>
    </w:p>
    <w:p w14:paraId="45F14AEC" w14:textId="77777777" w:rsidR="00AE3E37" w:rsidRDefault="00AE3E37">
      <w:pPr>
        <w:pStyle w:val="Textoindependiente"/>
        <w:spacing w:before="3"/>
        <w:rPr>
          <w:rFonts w:ascii="Arial"/>
          <w:sz w:val="21"/>
        </w:rPr>
      </w:pPr>
    </w:p>
    <w:p w14:paraId="54D4078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5312D3D" w14:textId="77777777" w:rsidR="00AE3E37" w:rsidRDefault="00A9710C">
      <w:pPr>
        <w:pStyle w:val="Ttulo3"/>
        <w:spacing w:before="147"/>
        <w:jc w:val="both"/>
      </w:pPr>
      <w:r>
        <w:rPr>
          <w:color w:val="BF5A14"/>
        </w:rPr>
        <w:t>Abstract</w:t>
      </w:r>
      <w:r w:rsidR="00404E5B">
        <w:rPr>
          <w:color w:val="BF5A14"/>
        </w:rPr>
        <w:t xml:space="preserve"> (300 word limit)</w:t>
      </w:r>
    </w:p>
    <w:p w14:paraId="597918C9" w14:textId="77777777" w:rsidR="00CE5068" w:rsidRPr="00E71E25" w:rsidRDefault="00CE5068" w:rsidP="00CE5068">
      <w:pPr>
        <w:jc w:val="both"/>
        <w:rPr>
          <w:sz w:val="18"/>
          <w:szCs w:val="18"/>
        </w:rPr>
      </w:pPr>
      <w:r w:rsidRPr="00E71E25">
        <w:rPr>
          <w:sz w:val="18"/>
          <w:szCs w:val="18"/>
        </w:rPr>
        <w:t>INTRODUCTION</w:t>
      </w:r>
    </w:p>
    <w:p w14:paraId="15B8C072" w14:textId="77777777" w:rsidR="00CE5068" w:rsidRPr="00E71E25" w:rsidRDefault="00CE5068" w:rsidP="00CE5068">
      <w:pPr>
        <w:spacing w:line="100" w:lineRule="atLeast"/>
        <w:jc w:val="both"/>
        <w:rPr>
          <w:sz w:val="18"/>
          <w:szCs w:val="18"/>
        </w:rPr>
      </w:pPr>
      <w:r w:rsidRPr="00E71E25">
        <w:rPr>
          <w:sz w:val="18"/>
          <w:szCs w:val="18"/>
        </w:rPr>
        <w:t>Myotonic dystrophy type 1 (DM1) is the most common form of muscular dystrophy in adults. Its main clinical features are myotonia and weakness of facial, axial, and distal muscles. Oropharyngeal dysphagia, although highly prevalent in DM1 patients, has received little attention in the literatur</w:t>
      </w:r>
      <w:r>
        <w:rPr>
          <w:sz w:val="18"/>
          <w:szCs w:val="18"/>
        </w:rPr>
        <w:t>e</w:t>
      </w:r>
      <w:r w:rsidRPr="00E71E25">
        <w:rPr>
          <w:sz w:val="18"/>
          <w:szCs w:val="18"/>
        </w:rPr>
        <w:t xml:space="preserve"> but it leads to a high mortality rate.</w:t>
      </w:r>
    </w:p>
    <w:p w14:paraId="6BBB9EB1" w14:textId="77777777" w:rsidR="00CE5068" w:rsidRPr="00E71E25" w:rsidRDefault="00CE5068" w:rsidP="00CE5068">
      <w:pPr>
        <w:spacing w:line="100" w:lineRule="atLeast"/>
        <w:jc w:val="both"/>
        <w:rPr>
          <w:sz w:val="18"/>
          <w:szCs w:val="18"/>
        </w:rPr>
      </w:pPr>
      <w:r w:rsidRPr="00E71E25">
        <w:rPr>
          <w:sz w:val="18"/>
          <w:szCs w:val="18"/>
        </w:rPr>
        <w:t>The aim of this study is to describe the swallowing function through fiberoptic endoscopic evaluation of swallowing (FEES). and to correlate it with functional independence of DM1 patients.</w:t>
      </w:r>
    </w:p>
    <w:p w14:paraId="17C3DEDE" w14:textId="77777777" w:rsidR="00CE5068" w:rsidRPr="00E71E25" w:rsidRDefault="00CE5068" w:rsidP="00CE5068">
      <w:pPr>
        <w:spacing w:line="100" w:lineRule="atLeast"/>
        <w:ind w:left="1714"/>
        <w:jc w:val="both"/>
        <w:rPr>
          <w:sz w:val="18"/>
          <w:szCs w:val="18"/>
        </w:rPr>
      </w:pPr>
    </w:p>
    <w:p w14:paraId="5049BA26" w14:textId="77777777" w:rsidR="00CE5068" w:rsidRPr="00E71E25" w:rsidRDefault="00CE5068" w:rsidP="00CE5068">
      <w:pPr>
        <w:spacing w:line="100" w:lineRule="atLeast"/>
        <w:jc w:val="both"/>
        <w:rPr>
          <w:sz w:val="18"/>
          <w:szCs w:val="18"/>
        </w:rPr>
      </w:pPr>
      <w:r w:rsidRPr="00E71E25">
        <w:rPr>
          <w:sz w:val="18"/>
          <w:szCs w:val="18"/>
        </w:rPr>
        <w:t>MATERIAL AND METHOD</w:t>
      </w:r>
    </w:p>
    <w:p w14:paraId="377712EE" w14:textId="77777777" w:rsidR="00CE5068" w:rsidRPr="00E71E25" w:rsidRDefault="00CE5068" w:rsidP="00CE5068">
      <w:pPr>
        <w:spacing w:line="100" w:lineRule="atLeast"/>
        <w:jc w:val="both"/>
        <w:rPr>
          <w:sz w:val="18"/>
          <w:szCs w:val="18"/>
        </w:rPr>
      </w:pPr>
      <w:r w:rsidRPr="00E71E25">
        <w:rPr>
          <w:sz w:val="18"/>
          <w:szCs w:val="18"/>
        </w:rPr>
        <w:t xml:space="preserve">Consecutive DM1 patients underwent a motor, function and swallowing assessment, at Virgen Macarena University Hospital in Seville (Spain). Data collection included: age, gender, Barthel Index, standardized </w:t>
      </w:r>
      <w:proofErr w:type="spellStart"/>
      <w:r w:rsidRPr="00E71E25">
        <w:rPr>
          <w:sz w:val="18"/>
          <w:szCs w:val="18"/>
        </w:rPr>
        <w:t>oromotor</w:t>
      </w:r>
      <w:proofErr w:type="spellEnd"/>
      <w:r w:rsidRPr="00E71E25">
        <w:rPr>
          <w:sz w:val="18"/>
          <w:szCs w:val="18"/>
        </w:rPr>
        <w:t xml:space="preserve"> assessment, FEES protocol and Functional Oral evaluation (functional oral intake scale-FOIS). </w:t>
      </w:r>
    </w:p>
    <w:p w14:paraId="6E1E071B" w14:textId="77777777" w:rsidR="00CE5068" w:rsidRPr="00E71E25" w:rsidRDefault="00CE5068" w:rsidP="00CE5068">
      <w:pPr>
        <w:spacing w:line="100" w:lineRule="atLeast"/>
        <w:jc w:val="both"/>
        <w:rPr>
          <w:sz w:val="18"/>
          <w:szCs w:val="18"/>
        </w:rPr>
      </w:pPr>
    </w:p>
    <w:p w14:paraId="11037E10" w14:textId="77777777" w:rsidR="00CE5068" w:rsidRPr="00E71E25" w:rsidRDefault="00CE5068" w:rsidP="00CE5068">
      <w:pPr>
        <w:spacing w:line="100" w:lineRule="atLeast"/>
        <w:jc w:val="both"/>
        <w:rPr>
          <w:sz w:val="18"/>
          <w:szCs w:val="18"/>
        </w:rPr>
      </w:pPr>
      <w:r w:rsidRPr="00E71E25">
        <w:rPr>
          <w:sz w:val="18"/>
          <w:szCs w:val="18"/>
        </w:rPr>
        <w:t>RESULTS</w:t>
      </w:r>
    </w:p>
    <w:p w14:paraId="4E07EAFA" w14:textId="77777777" w:rsidR="00CE5068" w:rsidRPr="00E71E25" w:rsidRDefault="00CE5068" w:rsidP="00CE5068">
      <w:pPr>
        <w:spacing w:line="100" w:lineRule="atLeast"/>
        <w:jc w:val="both"/>
        <w:rPr>
          <w:sz w:val="18"/>
          <w:szCs w:val="18"/>
        </w:rPr>
      </w:pPr>
      <w:r w:rsidRPr="00E71E25">
        <w:rPr>
          <w:sz w:val="18"/>
          <w:szCs w:val="18"/>
        </w:rPr>
        <w:t xml:space="preserve">18 patients, 83,3% males, mean age: 45,9. Mild or moderate proximal weakness (33,3%), moderate dependent (44,4%). </w:t>
      </w:r>
      <w:proofErr w:type="spellStart"/>
      <w:r w:rsidRPr="00E71E25">
        <w:rPr>
          <w:sz w:val="18"/>
          <w:szCs w:val="18"/>
        </w:rPr>
        <w:t>Oromotor</w:t>
      </w:r>
      <w:proofErr w:type="spellEnd"/>
      <w:r w:rsidRPr="00E71E25">
        <w:rPr>
          <w:sz w:val="18"/>
          <w:szCs w:val="18"/>
        </w:rPr>
        <w:t xml:space="preserve"> disfunction: 100% sample and a 6 FOIS level in 88,9%. FEES: basal secretions observed in 88,9%, pharynx sensitivity altered in 55,6%, </w:t>
      </w:r>
      <w:proofErr w:type="spellStart"/>
      <w:r w:rsidRPr="00E71E25">
        <w:rPr>
          <w:sz w:val="18"/>
          <w:szCs w:val="18"/>
        </w:rPr>
        <w:t>postswallow</w:t>
      </w:r>
      <w:proofErr w:type="spellEnd"/>
      <w:r w:rsidRPr="00E71E25">
        <w:rPr>
          <w:sz w:val="18"/>
          <w:szCs w:val="18"/>
        </w:rPr>
        <w:t xml:space="preserve"> vallecular/pyriform pooling in 22,2% with thin liquids and 100% with solids (biscuit).  Aspirations described in 33,3% and delayed pharyngeal reflex in 100% of the sample. No correlations between dependence and swallowing function.</w:t>
      </w:r>
    </w:p>
    <w:p w14:paraId="20CE5762" w14:textId="77777777" w:rsidR="00CE5068" w:rsidRPr="00E71E25" w:rsidRDefault="00CE5068" w:rsidP="00CE5068">
      <w:pPr>
        <w:spacing w:line="100" w:lineRule="atLeast"/>
        <w:jc w:val="both"/>
        <w:rPr>
          <w:sz w:val="18"/>
          <w:szCs w:val="18"/>
        </w:rPr>
      </w:pPr>
    </w:p>
    <w:p w14:paraId="26FB06EC" w14:textId="77777777" w:rsidR="00CE5068" w:rsidRPr="00E71E25" w:rsidRDefault="00CE5068" w:rsidP="00CE5068">
      <w:pPr>
        <w:spacing w:line="100" w:lineRule="atLeast"/>
        <w:jc w:val="both"/>
        <w:rPr>
          <w:sz w:val="18"/>
          <w:szCs w:val="18"/>
        </w:rPr>
      </w:pPr>
      <w:r w:rsidRPr="00E71E25">
        <w:rPr>
          <w:sz w:val="18"/>
          <w:szCs w:val="18"/>
        </w:rPr>
        <w:t>CONCLUSION</w:t>
      </w:r>
    </w:p>
    <w:p w14:paraId="074547AE" w14:textId="77777777" w:rsidR="00CE5068" w:rsidRPr="00E71E25" w:rsidRDefault="00CE5068" w:rsidP="00CE5068">
      <w:pPr>
        <w:spacing w:line="100" w:lineRule="atLeast"/>
        <w:jc w:val="both"/>
        <w:rPr>
          <w:sz w:val="18"/>
          <w:szCs w:val="18"/>
        </w:rPr>
      </w:pPr>
      <w:r w:rsidRPr="00E71E25">
        <w:rPr>
          <w:sz w:val="18"/>
          <w:szCs w:val="18"/>
        </w:rPr>
        <w:t xml:space="preserve">Dysphagia is common in DM1 patients. Its presence is probably underestimated in this population as patients do not usually report swallowing complaints unless specifically questioned. Besides it does not seem to be related to dependence. Aspiration, when occurred, </w:t>
      </w:r>
      <w:r>
        <w:rPr>
          <w:sz w:val="18"/>
          <w:szCs w:val="18"/>
        </w:rPr>
        <w:t>i</w:t>
      </w:r>
      <w:r w:rsidRPr="00E71E25">
        <w:rPr>
          <w:sz w:val="18"/>
          <w:szCs w:val="18"/>
        </w:rPr>
        <w:t xml:space="preserve">s more often with thin liquid, </w:t>
      </w:r>
      <w:proofErr w:type="spellStart"/>
      <w:r w:rsidRPr="00E71E25">
        <w:rPr>
          <w:sz w:val="18"/>
          <w:szCs w:val="18"/>
        </w:rPr>
        <w:t>athough</w:t>
      </w:r>
      <w:proofErr w:type="spellEnd"/>
      <w:r w:rsidRPr="00E71E25">
        <w:rPr>
          <w:sz w:val="18"/>
          <w:szCs w:val="18"/>
        </w:rPr>
        <w:t xml:space="preserve"> pharyngeal residues </w:t>
      </w:r>
      <w:r>
        <w:rPr>
          <w:sz w:val="18"/>
          <w:szCs w:val="18"/>
        </w:rPr>
        <w:t>are</w:t>
      </w:r>
      <w:r w:rsidRPr="00E71E25">
        <w:rPr>
          <w:sz w:val="18"/>
          <w:szCs w:val="18"/>
        </w:rPr>
        <w:t xml:space="preserve"> more usual with solids.</w:t>
      </w:r>
    </w:p>
    <w:p w14:paraId="0F9E129C" w14:textId="77777777" w:rsidR="00AE3E37" w:rsidRDefault="00A9710C">
      <w:pPr>
        <w:pStyle w:val="Ttulo3"/>
        <w:spacing w:before="74"/>
      </w:pPr>
      <w:r>
        <w:rPr>
          <w:b w:val="0"/>
        </w:rPr>
        <w:br w:type="column"/>
      </w:r>
      <w:r>
        <w:rPr>
          <w:color w:val="BF5A14"/>
        </w:rPr>
        <w:t>Image</w:t>
      </w:r>
    </w:p>
    <w:p w14:paraId="3E3C94C8" w14:textId="263B3D4D" w:rsidR="00AE3E37" w:rsidRDefault="00CE5068">
      <w:pPr>
        <w:pStyle w:val="Textoindependiente"/>
        <w:spacing w:before="2"/>
        <w:rPr>
          <w:rFonts w:ascii="Arial"/>
          <w:b/>
          <w:sz w:val="16"/>
        </w:rPr>
      </w:pPr>
      <w:r>
        <w:rPr>
          <w:noProof/>
        </w:rPr>
        <w:drawing>
          <wp:inline distT="0" distB="0" distL="0" distR="0" wp14:anchorId="26DB84B5" wp14:editId="3958FEFF">
            <wp:extent cx="1699260" cy="1341120"/>
            <wp:effectExtent l="0" t="0" r="0" b="0"/>
            <wp:docPr id="2" name="Imagen 2" descr="LARINGE F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INGE FE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9260" cy="1341120"/>
                    </a:xfrm>
                    <a:prstGeom prst="rect">
                      <a:avLst/>
                    </a:prstGeom>
                    <a:noFill/>
                    <a:ln>
                      <a:noFill/>
                    </a:ln>
                  </pic:spPr>
                </pic:pic>
              </a:graphicData>
            </a:graphic>
          </wp:inline>
        </w:drawing>
      </w:r>
    </w:p>
    <w:p w14:paraId="352499A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807666A" w14:textId="77777777" w:rsidR="00CE5068" w:rsidRPr="00E71E25" w:rsidRDefault="00CE5068" w:rsidP="00CE5068">
      <w:pPr>
        <w:suppressAutoHyphens/>
        <w:spacing w:line="100" w:lineRule="atLeast"/>
        <w:jc w:val="both"/>
        <w:rPr>
          <w:rFonts w:eastAsia="SimSun"/>
          <w:sz w:val="18"/>
          <w:szCs w:val="18"/>
          <w:lang w:eastAsia="ar-SA"/>
        </w:rPr>
      </w:pPr>
      <w:r w:rsidRPr="00E71E25">
        <w:rPr>
          <w:color w:val="333333"/>
          <w:sz w:val="18"/>
          <w:szCs w:val="18"/>
          <w:lang w:eastAsia="es-ES"/>
        </w:rPr>
        <w:t xml:space="preserve">1. </w:t>
      </w:r>
      <w:proofErr w:type="spellStart"/>
      <w:r w:rsidRPr="00E71E25">
        <w:rPr>
          <w:color w:val="333333"/>
          <w:sz w:val="18"/>
          <w:szCs w:val="18"/>
          <w:lang w:eastAsia="es-ES"/>
        </w:rPr>
        <w:t>Ercolin</w:t>
      </w:r>
      <w:proofErr w:type="spellEnd"/>
      <w:r w:rsidRPr="00E71E25">
        <w:rPr>
          <w:color w:val="333333"/>
          <w:sz w:val="18"/>
          <w:szCs w:val="18"/>
          <w:lang w:eastAsia="es-ES"/>
        </w:rPr>
        <w:t xml:space="preserve"> B</w:t>
      </w:r>
      <w:r w:rsidRPr="00E71E25">
        <w:rPr>
          <w:color w:val="000000"/>
          <w:sz w:val="18"/>
          <w:szCs w:val="18"/>
          <w:lang w:eastAsia="es-ES"/>
        </w:rPr>
        <w:t xml:space="preserve">, </w:t>
      </w:r>
      <w:r w:rsidRPr="00E71E25">
        <w:rPr>
          <w:color w:val="333333"/>
          <w:sz w:val="18"/>
          <w:szCs w:val="18"/>
          <w:lang w:eastAsia="es-ES"/>
        </w:rPr>
        <w:t>Sassi FC</w:t>
      </w:r>
      <w:r w:rsidRPr="00E71E25">
        <w:rPr>
          <w:color w:val="000000"/>
          <w:sz w:val="18"/>
          <w:szCs w:val="18"/>
          <w:lang w:eastAsia="es-ES"/>
        </w:rPr>
        <w:t xml:space="preserve">, </w:t>
      </w:r>
      <w:proofErr w:type="spellStart"/>
      <w:r w:rsidRPr="00E71E25">
        <w:rPr>
          <w:color w:val="333333"/>
          <w:sz w:val="18"/>
          <w:szCs w:val="18"/>
          <w:lang w:eastAsia="es-ES"/>
        </w:rPr>
        <w:t>Mangilli</w:t>
      </w:r>
      <w:proofErr w:type="spellEnd"/>
      <w:r w:rsidRPr="00E71E25">
        <w:rPr>
          <w:color w:val="333333"/>
          <w:sz w:val="18"/>
          <w:szCs w:val="18"/>
          <w:lang w:eastAsia="es-ES"/>
        </w:rPr>
        <w:t xml:space="preserve"> LD</w:t>
      </w:r>
      <w:r w:rsidRPr="00E71E25">
        <w:rPr>
          <w:color w:val="000000"/>
          <w:sz w:val="18"/>
          <w:szCs w:val="18"/>
          <w:lang w:eastAsia="es-ES"/>
        </w:rPr>
        <w:t xml:space="preserve">, </w:t>
      </w:r>
      <w:proofErr w:type="spellStart"/>
      <w:r w:rsidRPr="00E71E25">
        <w:rPr>
          <w:color w:val="333333"/>
          <w:sz w:val="18"/>
          <w:szCs w:val="18"/>
          <w:lang w:eastAsia="es-ES"/>
        </w:rPr>
        <w:t>Mendonça</w:t>
      </w:r>
      <w:proofErr w:type="spellEnd"/>
      <w:r w:rsidRPr="00E71E25">
        <w:rPr>
          <w:color w:val="333333"/>
          <w:sz w:val="18"/>
          <w:szCs w:val="18"/>
          <w:lang w:eastAsia="es-ES"/>
        </w:rPr>
        <w:t xml:space="preserve"> LI</w:t>
      </w:r>
      <w:r w:rsidRPr="00E71E25">
        <w:rPr>
          <w:color w:val="000000"/>
          <w:sz w:val="18"/>
          <w:szCs w:val="18"/>
          <w:lang w:eastAsia="es-ES"/>
        </w:rPr>
        <w:t xml:space="preserve">, </w:t>
      </w:r>
      <w:proofErr w:type="spellStart"/>
      <w:r w:rsidRPr="00E71E25">
        <w:rPr>
          <w:color w:val="333333"/>
          <w:sz w:val="18"/>
          <w:szCs w:val="18"/>
          <w:lang w:eastAsia="es-ES"/>
        </w:rPr>
        <w:t>Limongi</w:t>
      </w:r>
      <w:proofErr w:type="spellEnd"/>
      <w:r w:rsidRPr="00E71E25">
        <w:rPr>
          <w:color w:val="333333"/>
          <w:sz w:val="18"/>
          <w:szCs w:val="18"/>
          <w:lang w:eastAsia="es-ES"/>
        </w:rPr>
        <w:t xml:space="preserve"> SC</w:t>
      </w:r>
      <w:r w:rsidRPr="00E71E25">
        <w:rPr>
          <w:color w:val="000000"/>
          <w:sz w:val="18"/>
          <w:szCs w:val="18"/>
          <w:lang w:eastAsia="es-ES"/>
        </w:rPr>
        <w:t xml:space="preserve">, </w:t>
      </w:r>
      <w:r w:rsidRPr="00E71E25">
        <w:rPr>
          <w:color w:val="333333"/>
          <w:sz w:val="18"/>
          <w:szCs w:val="18"/>
          <w:lang w:eastAsia="es-ES"/>
        </w:rPr>
        <w:t>de Andrade CR</w:t>
      </w:r>
      <w:r w:rsidRPr="00E71E25">
        <w:rPr>
          <w:color w:val="000000"/>
          <w:sz w:val="18"/>
          <w:szCs w:val="18"/>
          <w:lang w:eastAsia="es-ES"/>
        </w:rPr>
        <w:t>.</w:t>
      </w:r>
      <w:r w:rsidRPr="00E71E25">
        <w:rPr>
          <w:sz w:val="18"/>
          <w:szCs w:val="18"/>
        </w:rPr>
        <w:t xml:space="preserve"> </w:t>
      </w:r>
      <w:r w:rsidRPr="00E71E25">
        <w:rPr>
          <w:color w:val="000000"/>
          <w:sz w:val="18"/>
          <w:szCs w:val="18"/>
          <w:lang w:eastAsia="es-ES"/>
        </w:rPr>
        <w:t>Oral motor movements and swallowing in patients with</w:t>
      </w:r>
      <w:r w:rsidRPr="00E71E25">
        <w:rPr>
          <w:sz w:val="18"/>
          <w:szCs w:val="18"/>
        </w:rPr>
        <w:t xml:space="preserve"> </w:t>
      </w:r>
      <w:r w:rsidRPr="00E71E25">
        <w:rPr>
          <w:color w:val="000000"/>
          <w:sz w:val="18"/>
          <w:szCs w:val="18"/>
          <w:lang w:eastAsia="es-ES"/>
        </w:rPr>
        <w:t>myotonic dystrophy type 1.</w:t>
      </w:r>
      <w:r w:rsidRPr="00E71E25">
        <w:rPr>
          <w:color w:val="333333"/>
          <w:sz w:val="18"/>
          <w:szCs w:val="18"/>
          <w:lang w:eastAsia="es-ES"/>
        </w:rPr>
        <w:t xml:space="preserve"> Dysphagia. </w:t>
      </w:r>
      <w:r w:rsidRPr="00E71E25">
        <w:rPr>
          <w:color w:val="000000"/>
          <w:sz w:val="18"/>
          <w:szCs w:val="18"/>
          <w:lang w:eastAsia="es-ES"/>
        </w:rPr>
        <w:t xml:space="preserve">2013 Sep;28(3):446-54. </w:t>
      </w:r>
      <w:proofErr w:type="spellStart"/>
      <w:r w:rsidRPr="00E71E25">
        <w:rPr>
          <w:color w:val="000000"/>
          <w:sz w:val="18"/>
          <w:szCs w:val="18"/>
          <w:lang w:eastAsia="es-ES"/>
        </w:rPr>
        <w:t>doi</w:t>
      </w:r>
      <w:proofErr w:type="spellEnd"/>
      <w:r w:rsidRPr="00E71E25">
        <w:rPr>
          <w:color w:val="000000"/>
          <w:sz w:val="18"/>
          <w:szCs w:val="18"/>
          <w:lang w:eastAsia="es-ES"/>
        </w:rPr>
        <w:t>: 10.1007/s00455-013-9458-9.</w:t>
      </w:r>
    </w:p>
    <w:p w14:paraId="0EF0B4FF" w14:textId="77777777" w:rsidR="00CE5068" w:rsidRPr="00E71E25" w:rsidRDefault="00CE5068" w:rsidP="00CE5068">
      <w:pPr>
        <w:autoSpaceDE w:val="0"/>
        <w:autoSpaceDN w:val="0"/>
        <w:adjustRightInd w:val="0"/>
        <w:jc w:val="both"/>
        <w:rPr>
          <w:sz w:val="18"/>
          <w:szCs w:val="18"/>
          <w:lang w:eastAsia="es-ES"/>
        </w:rPr>
      </w:pPr>
      <w:r w:rsidRPr="00E71E25">
        <w:rPr>
          <w:sz w:val="18"/>
          <w:szCs w:val="18"/>
          <w:lang w:eastAsia="es-ES"/>
        </w:rPr>
        <w:t>2.</w:t>
      </w:r>
      <w:r>
        <w:rPr>
          <w:sz w:val="18"/>
          <w:szCs w:val="18"/>
          <w:lang w:eastAsia="es-ES"/>
        </w:rPr>
        <w:t xml:space="preserve"> </w:t>
      </w:r>
      <w:proofErr w:type="spellStart"/>
      <w:r w:rsidRPr="00E71E25">
        <w:rPr>
          <w:color w:val="000000"/>
          <w:sz w:val="18"/>
          <w:szCs w:val="18"/>
          <w:lang w:eastAsia="es-ES"/>
        </w:rPr>
        <w:t>Pilz</w:t>
      </w:r>
      <w:proofErr w:type="spellEnd"/>
      <w:r>
        <w:rPr>
          <w:color w:val="000000"/>
          <w:sz w:val="18"/>
          <w:szCs w:val="18"/>
          <w:lang w:eastAsia="es-ES"/>
        </w:rPr>
        <w:t xml:space="preserve"> W</w:t>
      </w:r>
      <w:r w:rsidRPr="00E71E25">
        <w:rPr>
          <w:color w:val="000000"/>
          <w:sz w:val="18"/>
          <w:szCs w:val="18"/>
          <w:lang w:eastAsia="es-ES"/>
        </w:rPr>
        <w:t xml:space="preserve">, </w:t>
      </w:r>
      <w:proofErr w:type="spellStart"/>
      <w:r w:rsidRPr="00E71E25">
        <w:rPr>
          <w:color w:val="000000"/>
          <w:sz w:val="18"/>
          <w:szCs w:val="18"/>
          <w:lang w:eastAsia="es-ES"/>
        </w:rPr>
        <w:t>Baijens</w:t>
      </w:r>
      <w:proofErr w:type="spellEnd"/>
      <w:r>
        <w:rPr>
          <w:color w:val="000000"/>
          <w:sz w:val="18"/>
          <w:szCs w:val="18"/>
          <w:lang w:eastAsia="es-ES"/>
        </w:rPr>
        <w:t xml:space="preserve"> LWJ</w:t>
      </w:r>
      <w:r w:rsidRPr="00E71E25">
        <w:rPr>
          <w:color w:val="000000"/>
          <w:sz w:val="18"/>
          <w:szCs w:val="18"/>
          <w:lang w:eastAsia="es-ES"/>
        </w:rPr>
        <w:t xml:space="preserve">, </w:t>
      </w:r>
      <w:proofErr w:type="spellStart"/>
      <w:r w:rsidRPr="00E71E25">
        <w:rPr>
          <w:color w:val="000000"/>
          <w:sz w:val="18"/>
          <w:szCs w:val="18"/>
          <w:lang w:eastAsia="es-ES"/>
        </w:rPr>
        <w:t>Passos</w:t>
      </w:r>
      <w:proofErr w:type="spellEnd"/>
      <w:r>
        <w:rPr>
          <w:color w:val="000000"/>
          <w:sz w:val="18"/>
          <w:szCs w:val="18"/>
          <w:lang w:eastAsia="es-ES"/>
        </w:rPr>
        <w:t xml:space="preserve"> VL</w:t>
      </w:r>
      <w:r w:rsidRPr="00E71E25">
        <w:rPr>
          <w:color w:val="000000"/>
          <w:sz w:val="18"/>
          <w:szCs w:val="18"/>
          <w:lang w:eastAsia="es-ES"/>
        </w:rPr>
        <w:t xml:space="preserve">, </w:t>
      </w:r>
      <w:proofErr w:type="spellStart"/>
      <w:r w:rsidRPr="00E71E25">
        <w:rPr>
          <w:color w:val="000000"/>
          <w:sz w:val="18"/>
          <w:szCs w:val="18"/>
          <w:lang w:eastAsia="es-ES"/>
        </w:rPr>
        <w:t>Verdonschot</w:t>
      </w:r>
      <w:proofErr w:type="spellEnd"/>
      <w:r>
        <w:rPr>
          <w:color w:val="000000"/>
          <w:sz w:val="18"/>
          <w:szCs w:val="18"/>
          <w:lang w:eastAsia="es-ES"/>
        </w:rPr>
        <w:t xml:space="preserve"> R</w:t>
      </w:r>
      <w:r w:rsidRPr="00E71E25">
        <w:rPr>
          <w:color w:val="000000"/>
          <w:sz w:val="18"/>
          <w:szCs w:val="18"/>
          <w:lang w:eastAsia="es-ES"/>
        </w:rPr>
        <w:t xml:space="preserve">, </w:t>
      </w:r>
      <w:proofErr w:type="spellStart"/>
      <w:r w:rsidRPr="00E71E25">
        <w:rPr>
          <w:color w:val="000000"/>
          <w:sz w:val="18"/>
          <w:szCs w:val="18"/>
          <w:lang w:eastAsia="es-ES"/>
        </w:rPr>
        <w:t>Wesseling</w:t>
      </w:r>
      <w:proofErr w:type="spellEnd"/>
      <w:r>
        <w:rPr>
          <w:color w:val="000000"/>
          <w:sz w:val="18"/>
          <w:szCs w:val="18"/>
          <w:lang w:eastAsia="es-ES"/>
        </w:rPr>
        <w:t xml:space="preserve"> F</w:t>
      </w:r>
      <w:r w:rsidRPr="00E71E25">
        <w:rPr>
          <w:color w:val="000000"/>
          <w:sz w:val="18"/>
          <w:szCs w:val="18"/>
          <w:lang w:eastAsia="es-ES"/>
        </w:rPr>
        <w:t xml:space="preserve">, Nel </w:t>
      </w:r>
      <w:proofErr w:type="spellStart"/>
      <w:r w:rsidRPr="00E71E25">
        <w:rPr>
          <w:color w:val="000000"/>
          <w:sz w:val="18"/>
          <w:szCs w:val="18"/>
          <w:lang w:eastAsia="es-ES"/>
        </w:rPr>
        <w:t>Roodenburg</w:t>
      </w:r>
      <w:proofErr w:type="spellEnd"/>
      <w:r w:rsidRPr="00E71E25">
        <w:rPr>
          <w:color w:val="000000"/>
          <w:sz w:val="18"/>
          <w:szCs w:val="18"/>
          <w:lang w:eastAsia="es-ES"/>
        </w:rPr>
        <w:t>, Faber</w:t>
      </w:r>
      <w:r>
        <w:rPr>
          <w:color w:val="000000"/>
          <w:sz w:val="18"/>
          <w:szCs w:val="18"/>
          <w:lang w:eastAsia="es-ES"/>
        </w:rPr>
        <w:t xml:space="preserve"> CG</w:t>
      </w:r>
      <w:r w:rsidRPr="00E71E25">
        <w:rPr>
          <w:color w:val="000000"/>
          <w:sz w:val="18"/>
          <w:szCs w:val="18"/>
          <w:lang w:eastAsia="es-ES"/>
        </w:rPr>
        <w:t>, Kremer</w:t>
      </w:r>
      <w:r>
        <w:rPr>
          <w:color w:val="000000"/>
          <w:sz w:val="18"/>
          <w:szCs w:val="18"/>
          <w:lang w:eastAsia="es-ES"/>
        </w:rPr>
        <w:t xml:space="preserve"> B.</w:t>
      </w:r>
      <w:r w:rsidRPr="00E71E25">
        <w:rPr>
          <w:color w:val="000000"/>
          <w:sz w:val="18"/>
          <w:szCs w:val="18"/>
          <w:lang w:eastAsia="es-ES"/>
        </w:rPr>
        <w:t xml:space="preserve"> </w:t>
      </w:r>
      <w:r w:rsidRPr="00E71E25">
        <w:rPr>
          <w:sz w:val="18"/>
          <w:szCs w:val="18"/>
          <w:lang w:eastAsia="es-ES"/>
        </w:rPr>
        <w:t>Swallowing assessment in myotonic dystrophy type 1 using fiberoptic endoscopic evaluation of swallowing (FEES) Neuromuscular Disorders 2014</w:t>
      </w:r>
      <w:r>
        <w:rPr>
          <w:sz w:val="18"/>
          <w:szCs w:val="18"/>
          <w:lang w:eastAsia="es-ES"/>
        </w:rPr>
        <w:t>;24:</w:t>
      </w:r>
      <w:r w:rsidRPr="00E71E25">
        <w:rPr>
          <w:sz w:val="18"/>
          <w:szCs w:val="18"/>
          <w:lang w:eastAsia="es-ES"/>
        </w:rPr>
        <w:t xml:space="preserve">1054–1062   </w:t>
      </w:r>
      <w:hyperlink r:id="rId10" w:history="1">
        <w:r w:rsidRPr="0015495F">
          <w:rPr>
            <w:rStyle w:val="Hipervnculo"/>
            <w:sz w:val="18"/>
            <w:szCs w:val="18"/>
            <w:lang w:eastAsia="es-ES"/>
          </w:rPr>
          <w:t>http://dx.doi.org/10.1016/j.nmd.2014.06.002</w:t>
        </w:r>
      </w:hyperlink>
    </w:p>
    <w:p w14:paraId="435C4EDD" w14:textId="77777777" w:rsidR="00CE5068" w:rsidRPr="00F15728" w:rsidRDefault="00CE5068" w:rsidP="00CE5068">
      <w:pPr>
        <w:autoSpaceDE w:val="0"/>
        <w:autoSpaceDN w:val="0"/>
        <w:adjustRightInd w:val="0"/>
        <w:jc w:val="both"/>
        <w:rPr>
          <w:color w:val="000000"/>
          <w:sz w:val="18"/>
          <w:szCs w:val="18"/>
          <w:lang w:val="es-ES" w:eastAsia="es-ES"/>
        </w:rPr>
      </w:pPr>
      <w:r w:rsidRPr="00E71E25">
        <w:rPr>
          <w:sz w:val="18"/>
          <w:szCs w:val="18"/>
          <w:lang w:eastAsia="es-ES"/>
        </w:rPr>
        <w:t xml:space="preserve">3. </w:t>
      </w:r>
      <w:proofErr w:type="spellStart"/>
      <w:r w:rsidRPr="00F15728">
        <w:rPr>
          <w:color w:val="333333"/>
          <w:sz w:val="18"/>
          <w:szCs w:val="18"/>
          <w:lang w:val="es-ES" w:eastAsia="es-ES"/>
        </w:rPr>
        <w:t>Umemoto</w:t>
      </w:r>
      <w:proofErr w:type="spellEnd"/>
      <w:r w:rsidRPr="00F15728">
        <w:rPr>
          <w:color w:val="333333"/>
          <w:sz w:val="18"/>
          <w:szCs w:val="18"/>
          <w:lang w:val="es-ES" w:eastAsia="es-ES"/>
        </w:rPr>
        <w:t xml:space="preserve"> G</w:t>
      </w:r>
      <w:r w:rsidRPr="00F15728">
        <w:rPr>
          <w:color w:val="000000"/>
          <w:sz w:val="18"/>
          <w:szCs w:val="18"/>
          <w:lang w:val="es-ES" w:eastAsia="es-ES"/>
        </w:rPr>
        <w:t xml:space="preserve">, </w:t>
      </w:r>
      <w:proofErr w:type="spellStart"/>
      <w:r w:rsidRPr="00F15728">
        <w:rPr>
          <w:color w:val="333333"/>
          <w:sz w:val="18"/>
          <w:szCs w:val="18"/>
          <w:lang w:val="es-ES" w:eastAsia="es-ES"/>
        </w:rPr>
        <w:t>Furuya</w:t>
      </w:r>
      <w:proofErr w:type="spellEnd"/>
      <w:r w:rsidRPr="00F15728">
        <w:rPr>
          <w:color w:val="333333"/>
          <w:sz w:val="18"/>
          <w:szCs w:val="18"/>
          <w:lang w:val="es-ES" w:eastAsia="es-ES"/>
        </w:rPr>
        <w:t xml:space="preserve"> H</w:t>
      </w:r>
      <w:r w:rsidRPr="00F15728">
        <w:rPr>
          <w:color w:val="000000"/>
          <w:sz w:val="18"/>
          <w:szCs w:val="18"/>
          <w:lang w:val="es-ES" w:eastAsia="es-ES"/>
        </w:rPr>
        <w:t xml:space="preserve">, </w:t>
      </w:r>
      <w:proofErr w:type="spellStart"/>
      <w:r w:rsidRPr="00F15728">
        <w:rPr>
          <w:color w:val="333333"/>
          <w:sz w:val="18"/>
          <w:szCs w:val="18"/>
          <w:lang w:val="es-ES" w:eastAsia="es-ES"/>
        </w:rPr>
        <w:t>Kitashima</w:t>
      </w:r>
      <w:proofErr w:type="spellEnd"/>
      <w:r w:rsidRPr="00F15728">
        <w:rPr>
          <w:color w:val="333333"/>
          <w:sz w:val="18"/>
          <w:szCs w:val="18"/>
          <w:lang w:val="es-ES" w:eastAsia="es-ES"/>
        </w:rPr>
        <w:t xml:space="preserve"> A</w:t>
      </w:r>
      <w:r w:rsidRPr="00F15728">
        <w:rPr>
          <w:color w:val="000000"/>
          <w:sz w:val="18"/>
          <w:szCs w:val="18"/>
          <w:lang w:val="es-ES" w:eastAsia="es-ES"/>
        </w:rPr>
        <w:t xml:space="preserve">, </w:t>
      </w:r>
      <w:proofErr w:type="spellStart"/>
      <w:r w:rsidRPr="00F15728">
        <w:rPr>
          <w:color w:val="333333"/>
          <w:sz w:val="18"/>
          <w:szCs w:val="18"/>
          <w:lang w:val="es-ES" w:eastAsia="es-ES"/>
        </w:rPr>
        <w:t>Sakai</w:t>
      </w:r>
      <w:proofErr w:type="spellEnd"/>
      <w:r w:rsidRPr="00F15728">
        <w:rPr>
          <w:color w:val="333333"/>
          <w:sz w:val="18"/>
          <w:szCs w:val="18"/>
          <w:lang w:val="es-ES" w:eastAsia="es-ES"/>
        </w:rPr>
        <w:t xml:space="preserve"> M</w:t>
      </w:r>
      <w:r w:rsidRPr="00F15728">
        <w:rPr>
          <w:color w:val="000000"/>
          <w:sz w:val="18"/>
          <w:szCs w:val="18"/>
          <w:lang w:val="es-ES" w:eastAsia="es-ES"/>
        </w:rPr>
        <w:t xml:space="preserve">, </w:t>
      </w:r>
      <w:proofErr w:type="spellStart"/>
      <w:r w:rsidRPr="00F15728">
        <w:rPr>
          <w:color w:val="333333"/>
          <w:sz w:val="18"/>
          <w:szCs w:val="18"/>
          <w:lang w:val="es-ES" w:eastAsia="es-ES"/>
        </w:rPr>
        <w:t>Arahata</w:t>
      </w:r>
      <w:proofErr w:type="spellEnd"/>
      <w:r w:rsidRPr="00F15728">
        <w:rPr>
          <w:color w:val="333333"/>
          <w:sz w:val="18"/>
          <w:szCs w:val="18"/>
          <w:lang w:val="es-ES" w:eastAsia="es-ES"/>
        </w:rPr>
        <w:t xml:space="preserve"> H</w:t>
      </w:r>
      <w:r w:rsidRPr="00F15728">
        <w:rPr>
          <w:color w:val="000000"/>
          <w:sz w:val="18"/>
          <w:szCs w:val="18"/>
          <w:lang w:val="es-ES" w:eastAsia="es-ES"/>
        </w:rPr>
        <w:t xml:space="preserve">, </w:t>
      </w:r>
      <w:proofErr w:type="spellStart"/>
      <w:r w:rsidRPr="00F15728">
        <w:rPr>
          <w:color w:val="333333"/>
          <w:sz w:val="18"/>
          <w:szCs w:val="18"/>
          <w:lang w:val="es-ES" w:eastAsia="es-ES"/>
        </w:rPr>
        <w:t>Kikuta</w:t>
      </w:r>
      <w:proofErr w:type="spellEnd"/>
      <w:r w:rsidRPr="00F15728">
        <w:rPr>
          <w:color w:val="333333"/>
          <w:sz w:val="18"/>
          <w:szCs w:val="18"/>
          <w:lang w:val="es-ES" w:eastAsia="es-ES"/>
        </w:rPr>
        <w:t xml:space="preserve"> T </w:t>
      </w:r>
      <w:proofErr w:type="spellStart"/>
      <w:r w:rsidRPr="00F15728">
        <w:rPr>
          <w:color w:val="000000"/>
          <w:sz w:val="18"/>
          <w:szCs w:val="18"/>
          <w:lang w:val="es-ES" w:eastAsia="es-ES"/>
        </w:rPr>
        <w:t>Dysphagia</w:t>
      </w:r>
      <w:proofErr w:type="spellEnd"/>
      <w:r w:rsidRPr="00F15728">
        <w:rPr>
          <w:color w:val="000000"/>
          <w:sz w:val="18"/>
          <w:szCs w:val="18"/>
          <w:lang w:val="es-ES" w:eastAsia="es-ES"/>
        </w:rPr>
        <w:t xml:space="preserve"> in Duchenne muscular </w:t>
      </w:r>
      <w:proofErr w:type="spellStart"/>
      <w:r w:rsidRPr="00F15728">
        <w:rPr>
          <w:color w:val="000000"/>
          <w:sz w:val="18"/>
          <w:szCs w:val="18"/>
          <w:lang w:val="es-ES" w:eastAsia="es-ES"/>
        </w:rPr>
        <w:t>dystrophy</w:t>
      </w:r>
      <w:proofErr w:type="spellEnd"/>
      <w:r w:rsidRPr="00F15728">
        <w:rPr>
          <w:color w:val="000000"/>
          <w:sz w:val="18"/>
          <w:szCs w:val="18"/>
          <w:lang w:val="es-ES" w:eastAsia="es-ES"/>
        </w:rPr>
        <w:t xml:space="preserve"> versus </w:t>
      </w:r>
      <w:proofErr w:type="spellStart"/>
      <w:r w:rsidRPr="00F15728">
        <w:rPr>
          <w:color w:val="000000"/>
          <w:sz w:val="18"/>
          <w:szCs w:val="18"/>
          <w:lang w:val="es-ES" w:eastAsia="es-ES"/>
        </w:rPr>
        <w:t>myotonic</w:t>
      </w:r>
      <w:proofErr w:type="spellEnd"/>
      <w:r w:rsidRPr="00F15728">
        <w:rPr>
          <w:color w:val="000000"/>
          <w:sz w:val="18"/>
          <w:szCs w:val="18"/>
          <w:lang w:val="es-ES" w:eastAsia="es-ES"/>
        </w:rPr>
        <w:t xml:space="preserve"> </w:t>
      </w:r>
      <w:proofErr w:type="spellStart"/>
      <w:r w:rsidRPr="00F15728">
        <w:rPr>
          <w:color w:val="000000"/>
          <w:sz w:val="18"/>
          <w:szCs w:val="18"/>
          <w:lang w:val="es-ES" w:eastAsia="es-ES"/>
        </w:rPr>
        <w:t>dystrophy</w:t>
      </w:r>
      <w:proofErr w:type="spellEnd"/>
      <w:r w:rsidRPr="00F15728">
        <w:rPr>
          <w:color w:val="000000"/>
          <w:sz w:val="18"/>
          <w:szCs w:val="18"/>
          <w:lang w:val="es-ES" w:eastAsia="es-ES"/>
        </w:rPr>
        <w:t xml:space="preserve"> </w:t>
      </w:r>
      <w:proofErr w:type="spellStart"/>
      <w:r w:rsidRPr="00F15728">
        <w:rPr>
          <w:color w:val="000000"/>
          <w:sz w:val="18"/>
          <w:szCs w:val="18"/>
          <w:lang w:val="es-ES" w:eastAsia="es-ES"/>
        </w:rPr>
        <w:t>type</w:t>
      </w:r>
      <w:proofErr w:type="spellEnd"/>
      <w:r w:rsidRPr="00F15728">
        <w:rPr>
          <w:color w:val="000000"/>
          <w:sz w:val="18"/>
          <w:szCs w:val="18"/>
          <w:lang w:val="es-ES" w:eastAsia="es-ES"/>
        </w:rPr>
        <w:t xml:space="preserve"> 1. </w:t>
      </w:r>
      <w:proofErr w:type="spellStart"/>
      <w:r w:rsidRPr="00F15728">
        <w:rPr>
          <w:color w:val="333333"/>
          <w:sz w:val="18"/>
          <w:szCs w:val="18"/>
          <w:lang w:val="es-ES" w:eastAsia="es-ES"/>
        </w:rPr>
        <w:t>Muscle</w:t>
      </w:r>
      <w:proofErr w:type="spellEnd"/>
      <w:r w:rsidRPr="00F15728">
        <w:rPr>
          <w:color w:val="333333"/>
          <w:sz w:val="18"/>
          <w:szCs w:val="18"/>
          <w:lang w:val="es-ES" w:eastAsia="es-ES"/>
        </w:rPr>
        <w:t xml:space="preserve"> </w:t>
      </w:r>
      <w:proofErr w:type="spellStart"/>
      <w:r w:rsidRPr="00F15728">
        <w:rPr>
          <w:color w:val="333333"/>
          <w:sz w:val="18"/>
          <w:szCs w:val="18"/>
          <w:lang w:val="es-ES" w:eastAsia="es-ES"/>
        </w:rPr>
        <w:t>Nerve</w:t>
      </w:r>
      <w:proofErr w:type="spellEnd"/>
      <w:r w:rsidRPr="00F15728">
        <w:rPr>
          <w:color w:val="333333"/>
          <w:sz w:val="18"/>
          <w:szCs w:val="18"/>
          <w:lang w:val="es-ES" w:eastAsia="es-ES"/>
        </w:rPr>
        <w:t xml:space="preserve">. </w:t>
      </w:r>
      <w:r w:rsidRPr="00F15728">
        <w:rPr>
          <w:color w:val="000000"/>
          <w:sz w:val="18"/>
          <w:szCs w:val="18"/>
          <w:lang w:val="es-ES" w:eastAsia="es-ES"/>
        </w:rPr>
        <w:t xml:space="preserve">2012;46(4):490-5. </w:t>
      </w:r>
      <w:proofErr w:type="spellStart"/>
      <w:r w:rsidRPr="00F15728">
        <w:rPr>
          <w:color w:val="000000"/>
          <w:sz w:val="18"/>
          <w:szCs w:val="18"/>
          <w:lang w:val="es-ES" w:eastAsia="es-ES"/>
        </w:rPr>
        <w:t>doi</w:t>
      </w:r>
      <w:proofErr w:type="spellEnd"/>
      <w:r w:rsidRPr="00F15728">
        <w:rPr>
          <w:color w:val="000000"/>
          <w:sz w:val="18"/>
          <w:szCs w:val="18"/>
          <w:lang w:val="es-ES" w:eastAsia="es-ES"/>
        </w:rPr>
        <w:t>: 10.1002/mus.23364.</w:t>
      </w:r>
    </w:p>
    <w:p w14:paraId="5C531FE4" w14:textId="4B5A870A" w:rsidR="00AE3E37" w:rsidRPr="00CE5068" w:rsidRDefault="00CE5068" w:rsidP="008756E6">
      <w:pPr>
        <w:tabs>
          <w:tab w:val="left" w:pos="384"/>
        </w:tabs>
        <w:ind w:right="117"/>
        <w:rPr>
          <w:sz w:val="18"/>
          <w:szCs w:val="18"/>
        </w:rPr>
      </w:pPr>
      <w:r w:rsidRPr="00CE5068">
        <w:rPr>
          <w:sz w:val="18"/>
          <w:szCs w:val="18"/>
        </w:rPr>
        <w:t>4</w:t>
      </w:r>
      <w:r w:rsidRPr="00CE5068">
        <w:rPr>
          <w:sz w:val="18"/>
          <w:szCs w:val="18"/>
        </w:rPr>
        <w:t xml:space="preserve">. Díaz Guardiola P, </w:t>
      </w:r>
      <w:proofErr w:type="spellStart"/>
      <w:r w:rsidRPr="00CE5068">
        <w:rPr>
          <w:sz w:val="18"/>
          <w:szCs w:val="18"/>
        </w:rPr>
        <w:t>Olivar</w:t>
      </w:r>
      <w:proofErr w:type="spellEnd"/>
      <w:r w:rsidRPr="00CE5068">
        <w:rPr>
          <w:sz w:val="18"/>
          <w:szCs w:val="18"/>
        </w:rPr>
        <w:t xml:space="preserve"> </w:t>
      </w:r>
      <w:proofErr w:type="spellStart"/>
      <w:r w:rsidRPr="00CE5068">
        <w:rPr>
          <w:sz w:val="18"/>
          <w:szCs w:val="18"/>
        </w:rPr>
        <w:t>Roldán</w:t>
      </w:r>
      <w:proofErr w:type="spellEnd"/>
      <w:r w:rsidRPr="00CE5068">
        <w:rPr>
          <w:sz w:val="18"/>
          <w:szCs w:val="18"/>
        </w:rPr>
        <w:t xml:space="preserve"> J, </w:t>
      </w:r>
      <w:proofErr w:type="spellStart"/>
      <w:r w:rsidRPr="00CE5068">
        <w:rPr>
          <w:sz w:val="18"/>
          <w:szCs w:val="18"/>
        </w:rPr>
        <w:t>Azriel</w:t>
      </w:r>
      <w:proofErr w:type="spellEnd"/>
      <w:r w:rsidRPr="00CE5068">
        <w:rPr>
          <w:sz w:val="18"/>
          <w:szCs w:val="18"/>
        </w:rPr>
        <w:t xml:space="preserve"> Mira S, García de Gregorio J, Martín González C, Casanova Rodriguez C, Moreno </w:t>
      </w:r>
      <w:proofErr w:type="spellStart"/>
      <w:r w:rsidRPr="00CE5068">
        <w:rPr>
          <w:sz w:val="18"/>
          <w:szCs w:val="18"/>
        </w:rPr>
        <w:t>Zabaleta</w:t>
      </w:r>
      <w:proofErr w:type="spellEnd"/>
      <w:r w:rsidRPr="00CE5068">
        <w:rPr>
          <w:sz w:val="18"/>
          <w:szCs w:val="18"/>
        </w:rPr>
        <w:t xml:space="preserve"> R, Gutierrez </w:t>
      </w:r>
      <w:proofErr w:type="spellStart"/>
      <w:r w:rsidRPr="00CE5068">
        <w:rPr>
          <w:sz w:val="18"/>
          <w:szCs w:val="18"/>
        </w:rPr>
        <w:t>Gutierrez</w:t>
      </w:r>
      <w:proofErr w:type="spellEnd"/>
      <w:r w:rsidRPr="00CE5068">
        <w:rPr>
          <w:sz w:val="18"/>
          <w:szCs w:val="18"/>
        </w:rPr>
        <w:t xml:space="preserve"> G. Sun-lb336: Prevalence of dysphagia in a cohort of patients with Steinert disease Clinical Nutrition. </w:t>
      </w:r>
      <w:hyperlink r:id="rId11" w:history="1">
        <w:r w:rsidRPr="00CE5068">
          <w:rPr>
            <w:rStyle w:val="Hipervnculo"/>
            <w:sz w:val="18"/>
            <w:szCs w:val="18"/>
          </w:rPr>
          <w:t>2017</w:t>
        </w:r>
      </w:hyperlink>
      <w:r w:rsidRPr="00CE5068">
        <w:rPr>
          <w:sz w:val="18"/>
          <w:szCs w:val="18"/>
        </w:rPr>
        <w:t xml:space="preserve"> ;36(supplement 1): s178–s179 </w:t>
      </w:r>
      <w:proofErr w:type="spellStart"/>
      <w:r w:rsidRPr="00CE5068">
        <w:rPr>
          <w:sz w:val="18"/>
          <w:szCs w:val="18"/>
          <w:lang w:val="pt-BR"/>
        </w:rPr>
        <w:t>doi</w:t>
      </w:r>
      <w:proofErr w:type="spellEnd"/>
      <w:r w:rsidRPr="00CE5068">
        <w:rPr>
          <w:sz w:val="18"/>
          <w:szCs w:val="18"/>
          <w:lang w:val="pt-BR"/>
        </w:rPr>
        <w:t xml:space="preserve">: </w:t>
      </w:r>
      <w:hyperlink r:id="rId12" w:history="1">
        <w:r w:rsidRPr="00CE5068">
          <w:rPr>
            <w:rStyle w:val="Hipervnculo"/>
            <w:sz w:val="18"/>
            <w:szCs w:val="18"/>
            <w:lang w:val="pt-BR"/>
          </w:rPr>
          <w:t>https://doi.org/10.1016/s0261-5614(17)30627-1</w:t>
        </w:r>
      </w:hyperlink>
      <w:r w:rsidRPr="00CE5068">
        <w:rPr>
          <w:sz w:val="18"/>
          <w:szCs w:val="18"/>
          <w:lang w:val="pt-BR"/>
        </w:rPr>
        <w:br/>
      </w:r>
      <w:r w:rsidRPr="00CE5068">
        <w:rPr>
          <w:sz w:val="18"/>
          <w:szCs w:val="18"/>
          <w:lang w:val="pt-BR"/>
        </w:rPr>
        <w:t>5</w:t>
      </w:r>
      <w:r w:rsidRPr="00CE5068">
        <w:rPr>
          <w:sz w:val="18"/>
          <w:szCs w:val="18"/>
          <w:lang w:val="pt-BR"/>
        </w:rPr>
        <w:t xml:space="preserve">. </w:t>
      </w:r>
      <w:r w:rsidRPr="00CE5068">
        <w:rPr>
          <w:sz w:val="18"/>
          <w:szCs w:val="18"/>
        </w:rPr>
        <w:t>Ladonna, KA, Koopman WJ, Venance SL Myotonic Dystrophy (DM1) and dysphagia: the need for dysphagia management guidelines and an assessment tool Canadian Journal of Neuroscience Nursing 2011;33 (1): 42-46</w:t>
      </w:r>
    </w:p>
    <w:p w14:paraId="7BFB44B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18921D5" w14:textId="77777777" w:rsidR="00AE3E37" w:rsidRDefault="00AE3E37">
      <w:pPr>
        <w:pStyle w:val="Textoindependiente"/>
        <w:rPr>
          <w:rFonts w:ascii="Calibri"/>
          <w:sz w:val="20"/>
        </w:rPr>
      </w:pPr>
    </w:p>
    <w:p w14:paraId="34E3EF7A"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278689B2" wp14:editId="6F5D30E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FB6AD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766E1FB" w14:textId="6D623AE1" w:rsidR="00AE3E37" w:rsidRDefault="008756E6" w:rsidP="00404E5B">
      <w:pPr>
        <w:spacing w:before="92"/>
        <w:ind w:right="4234"/>
        <w:rPr>
          <w:rFonts w:ascii="Arial"/>
        </w:rPr>
      </w:pPr>
      <w:r>
        <w:rPr>
          <w:noProof/>
        </w:rPr>
        <w:t xml:space="preserve">              </w:t>
      </w:r>
      <w:r w:rsidR="00CE5068">
        <w:rPr>
          <w:rStyle w:val="A26"/>
          <w:rFonts w:eastAsia="MS Mincho"/>
          <w:noProof/>
        </w:rPr>
        <w:drawing>
          <wp:inline distT="0" distB="0" distL="0" distR="0" wp14:anchorId="14E7971B" wp14:editId="4471D928">
            <wp:extent cx="1104900" cy="1424940"/>
            <wp:effectExtent l="0" t="0" r="0" b="3810"/>
            <wp:docPr id="3" name="Imagen 3" descr="PHOTO-2019-02-03-22-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2019-02-03-22-08-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4900" cy="142494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8932C8F" w14:textId="77777777" w:rsidR="00CE5068" w:rsidRDefault="00CE5068" w:rsidP="00CE5068">
      <w:pPr>
        <w:spacing w:before="62"/>
        <w:ind w:right="58"/>
        <w:jc w:val="both"/>
        <w:rPr>
          <w:rStyle w:val="A26"/>
          <w:rFonts w:eastAsia="MS Mincho"/>
        </w:rPr>
      </w:pPr>
      <w:r>
        <w:rPr>
          <w:rStyle w:val="A26"/>
          <w:rFonts w:eastAsia="MS Mincho"/>
        </w:rPr>
        <w:t xml:space="preserve">Paola Diaz Borrego has completed his PhD at the age of 27 years from Seville University and postdoctoral studies from Seville University School of Medicine. She is Physical Medicine and Rehabilitation Consultant, specialized in Phoniatrics, and the director of Phoniatric/Speech and Language Therapy Unit (Physical Medicine and Rehabilitation </w:t>
      </w:r>
      <w:proofErr w:type="spellStart"/>
      <w:r>
        <w:rPr>
          <w:rStyle w:val="A26"/>
          <w:rFonts w:eastAsia="MS Mincho"/>
        </w:rPr>
        <w:t>Deparment</w:t>
      </w:r>
      <w:proofErr w:type="spellEnd"/>
      <w:r>
        <w:rPr>
          <w:rStyle w:val="A26"/>
          <w:rFonts w:eastAsia="MS Mincho"/>
        </w:rPr>
        <w:t xml:space="preserve">) in Virgen Macarena University Hospital, Seville, Spain. She has published more than 20 papers in reputed journals and has been serving as an editorial board member in several journals as: </w:t>
      </w:r>
      <w:proofErr w:type="spellStart"/>
      <w:r>
        <w:rPr>
          <w:rStyle w:val="A26"/>
          <w:rFonts w:eastAsia="MS Mincho"/>
        </w:rPr>
        <w:t>Rehabilitacion</w:t>
      </w:r>
      <w:proofErr w:type="spellEnd"/>
      <w:r>
        <w:rPr>
          <w:rStyle w:val="A26"/>
          <w:rFonts w:eastAsia="MS Mincho"/>
        </w:rPr>
        <w:t xml:space="preserve"> (</w:t>
      </w:r>
      <w:proofErr w:type="spellStart"/>
      <w:r>
        <w:rPr>
          <w:rStyle w:val="A26"/>
          <w:rFonts w:eastAsia="MS Mincho"/>
        </w:rPr>
        <w:t>Madr</w:t>
      </w:r>
      <w:proofErr w:type="spellEnd"/>
      <w:r>
        <w:rPr>
          <w:rStyle w:val="A26"/>
          <w:rFonts w:eastAsia="MS Mincho"/>
        </w:rPr>
        <w:t xml:space="preserve">), Neurology &amp;Neurosurgery, </w:t>
      </w:r>
      <w:proofErr w:type="spellStart"/>
      <w:r>
        <w:rPr>
          <w:rStyle w:val="A26"/>
          <w:rFonts w:eastAsia="MS Mincho"/>
        </w:rPr>
        <w:t>Ocronos</w:t>
      </w:r>
      <w:proofErr w:type="spellEnd"/>
    </w:p>
    <w:p w14:paraId="39F50BB6" w14:textId="77777777" w:rsidR="00CE5068" w:rsidRDefault="00CE5068" w:rsidP="00CE5068">
      <w:pPr>
        <w:spacing w:before="62"/>
        <w:ind w:right="58"/>
        <w:jc w:val="both"/>
        <w:rPr>
          <w:rStyle w:val="A26"/>
          <w:rFonts w:eastAsia="MS Mincho"/>
        </w:rPr>
      </w:pPr>
    </w:p>
    <w:p w14:paraId="38D76B0E" w14:textId="41216A3A" w:rsidR="00AE3E37" w:rsidRDefault="00A9710C" w:rsidP="00CE5068">
      <w:pPr>
        <w:spacing w:before="62"/>
        <w:ind w:right="58"/>
        <w:jc w:val="both"/>
        <w:rPr>
          <w:rFonts w:ascii="Arial"/>
          <w:sz w:val="14"/>
        </w:rPr>
      </w:pPr>
      <w:bookmarkStart w:id="1" w:name="_GoBack"/>
      <w:bookmarkEnd w:id="1"/>
      <w:r>
        <w:rPr>
          <w:rFonts w:ascii="Arial"/>
          <w:sz w:val="14"/>
        </w:rPr>
        <w:t>Email</w:t>
      </w:r>
      <w:r w:rsidR="00CE5068">
        <w:rPr>
          <w:rFonts w:ascii="Arial"/>
          <w:sz w:val="14"/>
        </w:rPr>
        <w:t xml:space="preserve"> padibo2@gmail.com</w:t>
      </w:r>
    </w:p>
    <w:p w14:paraId="3B32D97E"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A7F2503" wp14:editId="1ABB9BE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37226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8CE95B6" w14:textId="77777777" w:rsidR="00AE3E37" w:rsidRDefault="00AE3E37">
      <w:pPr>
        <w:pStyle w:val="Textoindependiente"/>
        <w:rPr>
          <w:rFonts w:ascii="Arial"/>
          <w:sz w:val="20"/>
        </w:rPr>
      </w:pPr>
    </w:p>
    <w:p w14:paraId="18521FEA" w14:textId="77777777" w:rsidR="00AE3E37" w:rsidRDefault="00AE3E37">
      <w:pPr>
        <w:pStyle w:val="Textoindependiente"/>
        <w:rPr>
          <w:rFonts w:ascii="Arial"/>
          <w:sz w:val="20"/>
        </w:rPr>
      </w:pPr>
    </w:p>
    <w:p w14:paraId="219F21B6" w14:textId="77777777" w:rsidR="00AE3E37" w:rsidRDefault="00AE3E37">
      <w:pPr>
        <w:pStyle w:val="Textoindependiente"/>
        <w:spacing w:before="7"/>
        <w:rPr>
          <w:rFonts w:ascii="Arial"/>
          <w:sz w:val="29"/>
        </w:rPr>
      </w:pPr>
    </w:p>
    <w:p w14:paraId="70DD0474" w14:textId="77777777" w:rsidR="00AE3E37" w:rsidRPr="00B21A57" w:rsidRDefault="00A9710C">
      <w:pPr>
        <w:spacing w:before="39"/>
        <w:ind w:left="100"/>
        <w:rPr>
          <w:rFonts w:ascii="Minion Pro"/>
          <w:b/>
          <w:sz w:val="20"/>
        </w:rPr>
      </w:pPr>
      <w:r w:rsidRPr="00B21A57">
        <w:rPr>
          <w:rFonts w:ascii="Minion Pro"/>
          <w:b/>
          <w:sz w:val="20"/>
        </w:rPr>
        <w:t>Notes/Comments:</w:t>
      </w:r>
    </w:p>
    <w:p w14:paraId="6A00BEF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9AAE811"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EEAD2" w14:textId="77777777" w:rsidR="00FC55FC" w:rsidRDefault="00FC55FC">
      <w:r>
        <w:separator/>
      </w:r>
    </w:p>
  </w:endnote>
  <w:endnote w:type="continuationSeparator" w:id="0">
    <w:p w14:paraId="722688D6"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9C49A"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7132DE" wp14:editId="23B94C0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A51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6A998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7132D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CDA51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6A998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6A5CF02" wp14:editId="720330E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E09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625BA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5CF0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21E09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625BA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F770791" wp14:editId="146A522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F45A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A0AB4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7079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67F45A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A0AB4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91FD9" w14:textId="77777777" w:rsidR="00FC55FC" w:rsidRDefault="00FC55FC">
      <w:r>
        <w:separator/>
      </w:r>
    </w:p>
  </w:footnote>
  <w:footnote w:type="continuationSeparator" w:id="0">
    <w:p w14:paraId="620DA531"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CC220"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FAFC805" wp14:editId="2599414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F05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FC80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DDF05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36A3C5B" wp14:editId="1D9A105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52C23"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2B2B2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A3C5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2752C23"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2B2B2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CE5068"/>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1FBD77"/>
  <w15:docId w15:val="{6E6890F1-7024-4BB1-B704-EA4C636AA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CE5068"/>
    <w:rPr>
      <w:color w:val="605E5C"/>
      <w:shd w:val="clear" w:color="auto" w:fill="E1DFDD"/>
    </w:rPr>
  </w:style>
  <w:style w:type="character" w:customStyle="1" w:styleId="A26">
    <w:name w:val="A26"/>
    <w:uiPriority w:val="99"/>
    <w:rsid w:val="00CE5068"/>
    <w:rPr>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16/S0261-5614(17)3062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linicalnutritionjournal.com/issue/S0261-5614(17)X0002-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x.doi.org/10.1016/j.nmd.2014.06.00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3525</Characters>
  <Application>Microsoft Office Word</Application>
  <DocSecurity>4</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Paola Diaz</cp:lastModifiedBy>
  <cp:revision>2</cp:revision>
  <dcterms:created xsi:type="dcterms:W3CDTF">2019-09-03T20:45:00Z</dcterms:created>
  <dcterms:modified xsi:type="dcterms:W3CDTF">2019-09-03T20:45:00Z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