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CF0" w:rsidRPr="00443A5E" w:rsidRDefault="00503F68" w:rsidP="00067717">
      <w:pPr>
        <w:spacing w:line="480" w:lineRule="auto"/>
        <w:jc w:val="center"/>
        <w:rPr>
          <w:b/>
        </w:rPr>
      </w:pPr>
      <w:bookmarkStart w:id="0" w:name="_GoBack"/>
      <w:r w:rsidRPr="00443A5E">
        <w:rPr>
          <w:b/>
        </w:rPr>
        <w:t xml:space="preserve">How </w:t>
      </w:r>
      <w:r w:rsidR="00443A5E" w:rsidRPr="00443A5E">
        <w:rPr>
          <w:b/>
        </w:rPr>
        <w:t xml:space="preserve">Cognitive Neuroscience Can </w:t>
      </w:r>
      <w:r w:rsidR="003F388E" w:rsidRPr="00443A5E">
        <w:rPr>
          <w:b/>
        </w:rPr>
        <w:t>Improve Assessment of Cancer Treatment-Related Cognitive Impairment</w:t>
      </w:r>
    </w:p>
    <w:bookmarkEnd w:id="0"/>
    <w:p w:rsidR="003F388E" w:rsidRDefault="003F388E" w:rsidP="00067717">
      <w:pPr>
        <w:spacing w:line="480" w:lineRule="auto"/>
        <w:rPr>
          <w:b/>
        </w:rPr>
      </w:pPr>
      <w:r>
        <w:rPr>
          <w:b/>
        </w:rPr>
        <w:t>A</w:t>
      </w:r>
      <w:r w:rsidRPr="003F388E">
        <w:rPr>
          <w:b/>
        </w:rPr>
        <w:t>bstract</w:t>
      </w:r>
    </w:p>
    <w:p w:rsidR="00CC5146" w:rsidRDefault="003F388E" w:rsidP="00067717">
      <w:pPr>
        <w:spacing w:line="480" w:lineRule="auto"/>
        <w:rPr>
          <w:noProof/>
        </w:rPr>
      </w:pPr>
      <w:r>
        <w:t xml:space="preserve">Globally, cancer is a </w:t>
      </w:r>
      <w:r w:rsidR="00CC5146">
        <w:rPr>
          <w:noProof/>
        </w:rPr>
        <w:t>significant</w:t>
      </w:r>
      <w:r>
        <w:t xml:space="preserve"> threat to many human lives nowadays</w:t>
      </w:r>
      <w:r w:rsidR="00260CD7">
        <w:t>. Most people are trying to f</w:t>
      </w:r>
      <w:r w:rsidR="00DE4D70">
        <w:t xml:space="preserve">ight different types of cancers. </w:t>
      </w:r>
      <w:r w:rsidR="00CC5146">
        <w:rPr>
          <w:noProof/>
        </w:rPr>
        <w:t>C</w:t>
      </w:r>
      <w:r w:rsidR="00CC5146" w:rsidRPr="00CC5146">
        <w:rPr>
          <w:noProof/>
        </w:rPr>
        <w:t>ognitive</w:t>
      </w:r>
      <w:r w:rsidR="00CC5146" w:rsidRPr="00CC5146">
        <w:t xml:space="preserve"> changes are </w:t>
      </w:r>
      <w:r w:rsidR="00CC5146">
        <w:rPr>
          <w:noProof/>
        </w:rPr>
        <w:t>regular</w:t>
      </w:r>
      <w:r w:rsidR="00CC5146" w:rsidRPr="00CC5146">
        <w:t xml:space="preserve"> in patients with dynamic malignant growth and during its reduction. </w:t>
      </w:r>
      <w:r w:rsidR="00CC5146" w:rsidRPr="00CC5146">
        <w:rPr>
          <w:noProof/>
        </w:rPr>
        <w:t>This</w:t>
      </w:r>
      <w:r w:rsidR="00CC5146" w:rsidRPr="00CC5146">
        <w:t xml:space="preserve"> has</w:t>
      </w:r>
      <w:r w:rsidR="00CC5146">
        <w:t>,</w:t>
      </w:r>
      <w:r w:rsidR="00CC5146" w:rsidRPr="00CC5146">
        <w:t xml:space="preserve"> </w:t>
      </w:r>
      <w:r w:rsidR="00CC5146" w:rsidRPr="00CC5146">
        <w:rPr>
          <w:noProof/>
        </w:rPr>
        <w:t>to</w:t>
      </w:r>
      <w:r w:rsidR="00CC5146" w:rsidRPr="00CC5146">
        <w:t xml:space="preserve"> a great </w:t>
      </w:r>
      <w:r w:rsidR="00CC5146" w:rsidRPr="00CC5146">
        <w:rPr>
          <w:noProof/>
        </w:rPr>
        <w:t>extent</w:t>
      </w:r>
      <w:r w:rsidR="00CC5146">
        <w:rPr>
          <w:noProof/>
        </w:rPr>
        <w:t>,</w:t>
      </w:r>
      <w:r w:rsidR="00CC5146" w:rsidRPr="00CC5146">
        <w:t xml:space="preserve"> </w:t>
      </w:r>
      <w:r w:rsidR="00CC5146" w:rsidRPr="00CC5146">
        <w:rPr>
          <w:noProof/>
        </w:rPr>
        <w:t>been based</w:t>
      </w:r>
      <w:r w:rsidR="00CC5146" w:rsidRPr="00CC5146">
        <w:t xml:space="preserve"> on treatment-related toxicities and analysis related worry, with little consideration paid to the natural effect of malignant growth itself. </w:t>
      </w:r>
      <w:r w:rsidR="00CC5146">
        <w:rPr>
          <w:noProof/>
        </w:rPr>
        <w:t>P</w:t>
      </w:r>
      <w:r w:rsidR="00CC5146" w:rsidRPr="00CC5146">
        <w:rPr>
          <w:noProof/>
        </w:rPr>
        <w:t>lenty</w:t>
      </w:r>
      <w:r w:rsidR="00CC5146" w:rsidRPr="00CC5146">
        <w:t xml:space="preserve"> of clinical investigations exhibits that disease patients experience subjective debilitation during and after treatment. In any case, late examinations demonstrate that a noteworthy bit of patients with non-focal sensory system (CNS) tumors experience intellectual decay before treatment, proposing a job for tumor-inferred factors in balancing perception and conduct. Malignant </w:t>
      </w:r>
      <w:r w:rsidR="00CC5146" w:rsidRPr="00CC5146">
        <w:rPr>
          <w:noProof/>
        </w:rPr>
        <w:t>growth</w:t>
      </w:r>
      <w:r w:rsidR="00CC5146">
        <w:rPr>
          <w:noProof/>
        </w:rPr>
        <w:t>-</w:t>
      </w:r>
      <w:r w:rsidR="00CC5146" w:rsidRPr="00CC5146">
        <w:rPr>
          <w:noProof/>
        </w:rPr>
        <w:t>related</w:t>
      </w:r>
      <w:r w:rsidR="00CC5146" w:rsidRPr="00CC5146">
        <w:t xml:space="preserve"> psychological hindrance (CRCI) adversely impacts a patient's satisfaction, lessens word related and social working, and builds horribleness and mortality. Besides, patients with malignant growth cachexia as often as possible experience </w:t>
      </w:r>
      <w:proofErr w:type="gramStart"/>
      <w:r w:rsidR="00CC5146" w:rsidRPr="00CC5146">
        <w:t>a distinct</w:t>
      </w:r>
      <w:proofErr w:type="gramEnd"/>
      <w:r w:rsidR="00CC5146" w:rsidRPr="00CC5146">
        <w:t xml:space="preserve"> neurocognitive decay, proposing fringe tumors apply a suffering toll on the cerebrum during this unending paraneoplastic disorder</w:t>
      </w:r>
      <w:r w:rsidR="00CC5146" w:rsidRPr="00CC5146">
        <w:rPr>
          <w:noProof/>
        </w:rPr>
        <w:t>.</w:t>
      </w:r>
    </w:p>
    <w:p w:rsidR="003F388E" w:rsidRDefault="00CC5146" w:rsidP="00067717">
      <w:pPr>
        <w:spacing w:line="480" w:lineRule="auto"/>
      </w:pPr>
      <w:r w:rsidRPr="00CC5146">
        <w:rPr>
          <w:noProof/>
        </w:rPr>
        <w:t>Notwithstanding</w:t>
      </w:r>
      <w:r w:rsidRPr="00CC5146">
        <w:t xml:space="preserve">, the shortage of research on </w:t>
      </w:r>
      <w:r>
        <w:rPr>
          <w:noProof/>
        </w:rPr>
        <w:t>personal</w:t>
      </w:r>
      <w:r w:rsidRPr="00CC5146">
        <w:t xml:space="preserve"> weakness in non-CNS malignant growths makes it hard to detach psychosocial, hereditary, conduct, and pathophysiological factors in CRCI. Besides, clinical models of CRCI are </w:t>
      </w:r>
      <w:r w:rsidRPr="00CC5146">
        <w:rPr>
          <w:noProof/>
        </w:rPr>
        <w:t>often</w:t>
      </w:r>
      <w:r w:rsidRPr="00CC5146">
        <w:t xml:space="preserve"> puzzled by confused medication regimens that inalienably influence neurocognitive procedures. The seriousness of CRCI differs impressively among patients and features its multifactorial nature. Unwinding the organic parts of CRCI from hereditary, psychosocial, and social components is non-unimportant, yet imperative in </w:t>
      </w:r>
      <w:r w:rsidRPr="00CC5146">
        <w:lastRenderedPageBreak/>
        <w:t>understanding the pathogenesis of CRCI and finding implies for helpful intercession. Ongoing proof showing the capacity of fringe tumors to modify CNS pathways in murine models is convincing, and it enables analysts to detach the hidden organic systems from the bewildering psychosocial stressors found in the facility. This survey outlines the condition of the study of CRCI autonomous of treatment and spotlights on natural systems in which fringe malignancies balance the CNS.</w:t>
      </w:r>
    </w:p>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3F388E"/>
    <w:p w:rsidR="00067717" w:rsidRDefault="00067717" w:rsidP="00067717">
      <w:pPr>
        <w:jc w:val="center"/>
      </w:pPr>
      <w:r>
        <w:lastRenderedPageBreak/>
        <w:t xml:space="preserve">References </w:t>
      </w:r>
    </w:p>
    <w:p w:rsidR="00067717" w:rsidRPr="00067717" w:rsidRDefault="00067717" w:rsidP="00067717">
      <w:pPr>
        <w:shd w:val="clear" w:color="auto" w:fill="FFFFFF"/>
        <w:spacing w:after="0" w:line="480" w:lineRule="auto"/>
        <w:ind w:left="144" w:hanging="720"/>
        <w:jc w:val="both"/>
        <w:rPr>
          <w:rFonts w:eastAsia="Times New Roman" w:cs="Times New Roman"/>
          <w:color w:val="222222"/>
          <w:szCs w:val="24"/>
        </w:rPr>
      </w:pPr>
      <w:r w:rsidRPr="00067717">
        <w:rPr>
          <w:rFonts w:eastAsia="Times New Roman" w:cs="Times New Roman"/>
          <w:noProof/>
          <w:color w:val="222222"/>
          <w:szCs w:val="24"/>
        </w:rPr>
        <w:t>Hshieh</w:t>
      </w:r>
      <w:r w:rsidRPr="00067717">
        <w:rPr>
          <w:rFonts w:eastAsia="Times New Roman" w:cs="Times New Roman"/>
          <w:color w:val="222222"/>
          <w:szCs w:val="24"/>
        </w:rPr>
        <w:t xml:space="preserve">, T.T.; Jung, W.F.; Grande, L.J.; Chen, J.; Stone, R.M.; </w:t>
      </w:r>
      <w:proofErr w:type="spellStart"/>
      <w:r w:rsidRPr="00067717">
        <w:rPr>
          <w:rFonts w:eastAsia="Times New Roman" w:cs="Times New Roman"/>
          <w:color w:val="222222"/>
          <w:szCs w:val="24"/>
        </w:rPr>
        <w:t>Soiffer</w:t>
      </w:r>
      <w:proofErr w:type="spellEnd"/>
      <w:r w:rsidRPr="00067717">
        <w:rPr>
          <w:rFonts w:eastAsia="Times New Roman" w:cs="Times New Roman"/>
          <w:color w:val="222222"/>
          <w:szCs w:val="24"/>
        </w:rPr>
        <w:t>, R.J.; Driver, J.A.; Abel, G.A. Prevalence of Cognitive Impairment and Association With Survival Among Older Patients With Hematologic Cancers. </w:t>
      </w:r>
      <w:proofErr w:type="gramStart"/>
      <w:r w:rsidRPr="00067717">
        <w:rPr>
          <w:rFonts w:eastAsia="Times New Roman" w:cs="Times New Roman"/>
          <w:i/>
          <w:iCs/>
          <w:color w:val="222222"/>
          <w:szCs w:val="24"/>
        </w:rPr>
        <w:t xml:space="preserve">JAMA </w:t>
      </w:r>
      <w:proofErr w:type="spellStart"/>
      <w:r w:rsidRPr="00067717">
        <w:rPr>
          <w:rFonts w:eastAsia="Times New Roman" w:cs="Times New Roman"/>
          <w:i/>
          <w:iCs/>
          <w:color w:val="222222"/>
          <w:szCs w:val="24"/>
        </w:rPr>
        <w:t>Oncol</w:t>
      </w:r>
      <w:proofErr w:type="spellEnd"/>
      <w:r w:rsidRPr="00067717">
        <w:rPr>
          <w:rFonts w:eastAsia="Times New Roman" w:cs="Times New Roman"/>
          <w:i/>
          <w:iCs/>
          <w:color w:val="222222"/>
          <w:szCs w:val="24"/>
        </w:rPr>
        <w:t>.</w:t>
      </w:r>
      <w:proofErr w:type="gramEnd"/>
      <w:r w:rsidRPr="00067717">
        <w:rPr>
          <w:rFonts w:eastAsia="Times New Roman" w:cs="Times New Roman"/>
          <w:color w:val="222222"/>
          <w:szCs w:val="24"/>
        </w:rPr>
        <w:t> </w:t>
      </w:r>
      <w:r w:rsidRPr="00067717">
        <w:rPr>
          <w:rFonts w:eastAsia="Times New Roman" w:cs="Times New Roman"/>
          <w:b/>
          <w:bCs/>
          <w:color w:val="222222"/>
          <w:szCs w:val="24"/>
        </w:rPr>
        <w:t>2018</w:t>
      </w:r>
      <w:r w:rsidRPr="00067717">
        <w:rPr>
          <w:rFonts w:eastAsia="Times New Roman" w:cs="Times New Roman"/>
          <w:color w:val="222222"/>
          <w:szCs w:val="24"/>
        </w:rPr>
        <w:t>, </w:t>
      </w:r>
      <w:r w:rsidRPr="00067717">
        <w:rPr>
          <w:rFonts w:eastAsia="Times New Roman" w:cs="Times New Roman"/>
          <w:i/>
          <w:iCs/>
          <w:color w:val="222222"/>
          <w:szCs w:val="24"/>
        </w:rPr>
        <w:t>4</w:t>
      </w:r>
      <w:r w:rsidRPr="00067717">
        <w:rPr>
          <w:rFonts w:eastAsia="Times New Roman" w:cs="Times New Roman"/>
          <w:color w:val="222222"/>
          <w:szCs w:val="24"/>
        </w:rPr>
        <w:t>, 686–693. [</w:t>
      </w:r>
      <w:hyperlink r:id="rId8" w:tgtFrame="_blank" w:history="1">
        <w:r w:rsidRPr="00067717">
          <w:rPr>
            <w:rFonts w:eastAsia="Times New Roman" w:cs="Times New Roman"/>
            <w:color w:val="3156A2"/>
            <w:szCs w:val="24"/>
          </w:rPr>
          <w:t>Google Scholar</w:t>
        </w:r>
      </w:hyperlink>
      <w:r w:rsidRPr="00067717">
        <w:rPr>
          <w:rFonts w:eastAsia="Times New Roman" w:cs="Times New Roman"/>
          <w:color w:val="222222"/>
          <w:szCs w:val="24"/>
        </w:rPr>
        <w:t>] [</w:t>
      </w:r>
      <w:proofErr w:type="spellStart"/>
      <w:r w:rsidRPr="00067717">
        <w:rPr>
          <w:rFonts w:eastAsia="Times New Roman" w:cs="Times New Roman"/>
          <w:color w:val="222222"/>
          <w:szCs w:val="24"/>
        </w:rPr>
        <w:fldChar w:fldCharType="begin"/>
      </w:r>
      <w:r w:rsidRPr="00067717">
        <w:rPr>
          <w:rFonts w:eastAsia="Times New Roman" w:cs="Times New Roman"/>
          <w:color w:val="222222"/>
          <w:szCs w:val="24"/>
        </w:rPr>
        <w:instrText xml:space="preserve"> HYPERLINK "https://dx.doi.org/10.1001/jamaoncol.2017.5674" \t "_blank" </w:instrText>
      </w:r>
      <w:r w:rsidRPr="00067717">
        <w:rPr>
          <w:rFonts w:eastAsia="Times New Roman" w:cs="Times New Roman"/>
          <w:color w:val="222222"/>
          <w:szCs w:val="24"/>
        </w:rPr>
        <w:fldChar w:fldCharType="separate"/>
      </w:r>
      <w:r w:rsidRPr="00067717">
        <w:rPr>
          <w:rFonts w:eastAsia="Times New Roman" w:cs="Times New Roman"/>
          <w:color w:val="3156A2"/>
          <w:szCs w:val="24"/>
        </w:rPr>
        <w:t>CrossRef</w:t>
      </w:r>
      <w:proofErr w:type="spellEnd"/>
      <w:r w:rsidRPr="00067717">
        <w:rPr>
          <w:rFonts w:eastAsia="Times New Roman" w:cs="Times New Roman"/>
          <w:color w:val="222222"/>
          <w:szCs w:val="24"/>
        </w:rPr>
        <w:fldChar w:fldCharType="end"/>
      </w:r>
      <w:r w:rsidRPr="00067717">
        <w:rPr>
          <w:rFonts w:eastAsia="Times New Roman" w:cs="Times New Roman"/>
          <w:color w:val="222222"/>
          <w:szCs w:val="24"/>
        </w:rPr>
        <w:t>]</w:t>
      </w:r>
    </w:p>
    <w:p w:rsidR="00067717" w:rsidRPr="00067717" w:rsidRDefault="00067717" w:rsidP="00067717">
      <w:pPr>
        <w:shd w:val="clear" w:color="auto" w:fill="FFFFFF"/>
        <w:spacing w:after="0" w:line="480" w:lineRule="auto"/>
        <w:ind w:left="144" w:hanging="720"/>
        <w:jc w:val="both"/>
        <w:rPr>
          <w:rFonts w:eastAsia="Times New Roman" w:cs="Times New Roman"/>
          <w:color w:val="222222"/>
          <w:szCs w:val="24"/>
        </w:rPr>
      </w:pPr>
      <w:r w:rsidRPr="00067717">
        <w:rPr>
          <w:rFonts w:eastAsia="Times New Roman" w:cs="Times New Roman"/>
          <w:color w:val="222222"/>
          <w:szCs w:val="24"/>
        </w:rPr>
        <w:t>Walker, A.K.; Chang, A.; Ziegler, A.I.; Dhillon, H.M.; Vardy, J.L.; Sloan, E.K. Low dose aspirin blocks breast cancer-induced cognitive impairment in mice. </w:t>
      </w:r>
      <w:proofErr w:type="spellStart"/>
      <w:proofErr w:type="gramStart"/>
      <w:r w:rsidRPr="00067717">
        <w:rPr>
          <w:rFonts w:eastAsia="Times New Roman" w:cs="Times New Roman"/>
          <w:i/>
          <w:iCs/>
          <w:color w:val="222222"/>
          <w:szCs w:val="24"/>
        </w:rPr>
        <w:t>PloS</w:t>
      </w:r>
      <w:proofErr w:type="spellEnd"/>
      <w:r w:rsidRPr="00067717">
        <w:rPr>
          <w:rFonts w:eastAsia="Times New Roman" w:cs="Times New Roman"/>
          <w:i/>
          <w:iCs/>
          <w:color w:val="222222"/>
          <w:szCs w:val="24"/>
        </w:rPr>
        <w:t xml:space="preserve"> ONE</w:t>
      </w:r>
      <w:r w:rsidRPr="00067717">
        <w:rPr>
          <w:rFonts w:eastAsia="Times New Roman" w:cs="Times New Roman"/>
          <w:color w:val="222222"/>
          <w:szCs w:val="24"/>
        </w:rPr>
        <w:t> </w:t>
      </w:r>
      <w:r w:rsidRPr="00067717">
        <w:rPr>
          <w:rFonts w:eastAsia="Times New Roman" w:cs="Times New Roman"/>
          <w:b/>
          <w:bCs/>
          <w:color w:val="222222"/>
          <w:szCs w:val="24"/>
        </w:rPr>
        <w:t>2018</w:t>
      </w:r>
      <w:r w:rsidRPr="00067717">
        <w:rPr>
          <w:rFonts w:eastAsia="Times New Roman" w:cs="Times New Roman"/>
          <w:color w:val="222222"/>
          <w:szCs w:val="24"/>
        </w:rPr>
        <w:t>, </w:t>
      </w:r>
      <w:r w:rsidRPr="00067717">
        <w:rPr>
          <w:rFonts w:eastAsia="Times New Roman" w:cs="Times New Roman"/>
          <w:i/>
          <w:iCs/>
          <w:color w:val="222222"/>
          <w:szCs w:val="24"/>
        </w:rPr>
        <w:t>13</w:t>
      </w:r>
      <w:r w:rsidRPr="00067717">
        <w:rPr>
          <w:rFonts w:eastAsia="Times New Roman" w:cs="Times New Roman"/>
          <w:color w:val="222222"/>
          <w:szCs w:val="24"/>
        </w:rPr>
        <w:t>, e0208593.</w:t>
      </w:r>
      <w:proofErr w:type="gramEnd"/>
      <w:r w:rsidRPr="00067717">
        <w:rPr>
          <w:rFonts w:eastAsia="Times New Roman" w:cs="Times New Roman"/>
          <w:color w:val="222222"/>
          <w:szCs w:val="24"/>
        </w:rPr>
        <w:t xml:space="preserve"> [</w:t>
      </w:r>
      <w:hyperlink r:id="rId9" w:tgtFrame="_blank" w:history="1">
        <w:r w:rsidRPr="00067717">
          <w:rPr>
            <w:rFonts w:eastAsia="Times New Roman" w:cs="Times New Roman"/>
            <w:color w:val="3156A2"/>
            <w:szCs w:val="24"/>
          </w:rPr>
          <w:t>Google Scholar</w:t>
        </w:r>
      </w:hyperlink>
      <w:r w:rsidRPr="00067717">
        <w:rPr>
          <w:rFonts w:eastAsia="Times New Roman" w:cs="Times New Roman"/>
          <w:color w:val="222222"/>
          <w:szCs w:val="24"/>
        </w:rPr>
        <w:t>] [</w:t>
      </w:r>
      <w:proofErr w:type="spellStart"/>
      <w:r w:rsidRPr="00067717">
        <w:rPr>
          <w:rFonts w:eastAsia="Times New Roman" w:cs="Times New Roman"/>
          <w:color w:val="222222"/>
          <w:szCs w:val="24"/>
        </w:rPr>
        <w:fldChar w:fldCharType="begin"/>
      </w:r>
      <w:r w:rsidRPr="00067717">
        <w:rPr>
          <w:rFonts w:eastAsia="Times New Roman" w:cs="Times New Roman"/>
          <w:color w:val="222222"/>
          <w:szCs w:val="24"/>
        </w:rPr>
        <w:instrText xml:space="preserve"> HYPERLINK "https://dx.doi.org/10.1371/journal.pone.0208593" \t "_blank" </w:instrText>
      </w:r>
      <w:r w:rsidRPr="00067717">
        <w:rPr>
          <w:rFonts w:eastAsia="Times New Roman" w:cs="Times New Roman"/>
          <w:color w:val="222222"/>
          <w:szCs w:val="24"/>
        </w:rPr>
        <w:fldChar w:fldCharType="separate"/>
      </w:r>
      <w:r w:rsidRPr="00067717">
        <w:rPr>
          <w:rFonts w:eastAsia="Times New Roman" w:cs="Times New Roman"/>
          <w:color w:val="3156A2"/>
          <w:szCs w:val="24"/>
        </w:rPr>
        <w:t>CrossRef</w:t>
      </w:r>
      <w:proofErr w:type="spellEnd"/>
      <w:r w:rsidRPr="00067717">
        <w:rPr>
          <w:rFonts w:eastAsia="Times New Roman" w:cs="Times New Roman"/>
          <w:color w:val="222222"/>
          <w:szCs w:val="24"/>
        </w:rPr>
        <w:fldChar w:fldCharType="end"/>
      </w:r>
      <w:r w:rsidRPr="00067717">
        <w:rPr>
          <w:rFonts w:eastAsia="Times New Roman" w:cs="Times New Roman"/>
          <w:color w:val="222222"/>
          <w:szCs w:val="24"/>
        </w:rPr>
        <w:t>] [</w:t>
      </w:r>
      <w:hyperlink r:id="rId10" w:tgtFrame="_blank" w:history="1">
        <w:r w:rsidRPr="00067717">
          <w:rPr>
            <w:rFonts w:eastAsia="Times New Roman" w:cs="Times New Roman"/>
            <w:color w:val="3156A2"/>
            <w:szCs w:val="24"/>
          </w:rPr>
          <w:t>PubMed</w:t>
        </w:r>
      </w:hyperlink>
      <w:r w:rsidRPr="00067717">
        <w:rPr>
          <w:rFonts w:eastAsia="Times New Roman" w:cs="Times New Roman"/>
          <w:color w:val="222222"/>
          <w:szCs w:val="24"/>
        </w:rPr>
        <w:t>]</w:t>
      </w:r>
    </w:p>
    <w:p w:rsidR="00067717" w:rsidRPr="003F388E" w:rsidRDefault="00067717" w:rsidP="00067717"/>
    <w:sectPr w:rsidR="00067717" w:rsidRPr="003F388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D1D" w:rsidRDefault="004E4D1D" w:rsidP="0018447C">
      <w:pPr>
        <w:spacing w:after="0" w:line="240" w:lineRule="auto"/>
      </w:pPr>
      <w:r>
        <w:separator/>
      </w:r>
    </w:p>
  </w:endnote>
  <w:endnote w:type="continuationSeparator" w:id="0">
    <w:p w:rsidR="004E4D1D" w:rsidRDefault="004E4D1D" w:rsidP="00184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C" w:rsidRDefault="001844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C" w:rsidRDefault="001844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C" w:rsidRDefault="001844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D1D" w:rsidRDefault="004E4D1D" w:rsidP="0018447C">
      <w:pPr>
        <w:spacing w:after="0" w:line="240" w:lineRule="auto"/>
      </w:pPr>
      <w:r>
        <w:separator/>
      </w:r>
    </w:p>
  </w:footnote>
  <w:footnote w:type="continuationSeparator" w:id="0">
    <w:p w:rsidR="004E4D1D" w:rsidRDefault="004E4D1D" w:rsidP="001844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C" w:rsidRDefault="001844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C" w:rsidRDefault="001844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C" w:rsidRDefault="001844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022817"/>
    <w:multiLevelType w:val="multilevel"/>
    <w:tmpl w:val="8BBC1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C5634F3"/>
    <w:multiLevelType w:val="multilevel"/>
    <w:tmpl w:val="07105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LA0M7cwNbQ0MLY0MbBQ0lEKTi0uzszPAykwqgUABTaAXywAAAA="/>
  </w:docVars>
  <w:rsids>
    <w:rsidRoot w:val="003F388E"/>
    <w:rsid w:val="00067717"/>
    <w:rsid w:val="0018447C"/>
    <w:rsid w:val="00260CD7"/>
    <w:rsid w:val="003E7CF0"/>
    <w:rsid w:val="003F388E"/>
    <w:rsid w:val="00443A5E"/>
    <w:rsid w:val="004E4D1D"/>
    <w:rsid w:val="00503F68"/>
    <w:rsid w:val="00CC5146"/>
    <w:rsid w:val="00DE4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ml-italic">
    <w:name w:val="html-italic"/>
    <w:basedOn w:val="DefaultParagraphFont"/>
    <w:rsid w:val="00067717"/>
  </w:style>
  <w:style w:type="character" w:styleId="Hyperlink">
    <w:name w:val="Hyperlink"/>
    <w:basedOn w:val="DefaultParagraphFont"/>
    <w:uiPriority w:val="99"/>
    <w:semiHidden/>
    <w:unhideWhenUsed/>
    <w:rsid w:val="00067717"/>
    <w:rPr>
      <w:color w:val="0000FF"/>
      <w:u w:val="single"/>
    </w:rPr>
  </w:style>
  <w:style w:type="paragraph" w:styleId="Header">
    <w:name w:val="header"/>
    <w:basedOn w:val="Normal"/>
    <w:link w:val="HeaderChar"/>
    <w:uiPriority w:val="99"/>
    <w:unhideWhenUsed/>
    <w:rsid w:val="00184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47C"/>
  </w:style>
  <w:style w:type="paragraph" w:styleId="Footer">
    <w:name w:val="footer"/>
    <w:basedOn w:val="Normal"/>
    <w:link w:val="FooterChar"/>
    <w:uiPriority w:val="99"/>
    <w:unhideWhenUsed/>
    <w:rsid w:val="00184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4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ml-italic">
    <w:name w:val="html-italic"/>
    <w:basedOn w:val="DefaultParagraphFont"/>
    <w:rsid w:val="00067717"/>
  </w:style>
  <w:style w:type="character" w:styleId="Hyperlink">
    <w:name w:val="Hyperlink"/>
    <w:basedOn w:val="DefaultParagraphFont"/>
    <w:uiPriority w:val="99"/>
    <w:semiHidden/>
    <w:unhideWhenUsed/>
    <w:rsid w:val="00067717"/>
    <w:rPr>
      <w:color w:val="0000FF"/>
      <w:u w:val="single"/>
    </w:rPr>
  </w:style>
  <w:style w:type="paragraph" w:styleId="Header">
    <w:name w:val="header"/>
    <w:basedOn w:val="Normal"/>
    <w:link w:val="HeaderChar"/>
    <w:uiPriority w:val="99"/>
    <w:unhideWhenUsed/>
    <w:rsid w:val="00184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47C"/>
  </w:style>
  <w:style w:type="paragraph" w:styleId="Footer">
    <w:name w:val="footer"/>
    <w:basedOn w:val="Normal"/>
    <w:link w:val="FooterChar"/>
    <w:uiPriority w:val="99"/>
    <w:unhideWhenUsed/>
    <w:rsid w:val="00184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4572529">
      <w:bodyDiv w:val="1"/>
      <w:marLeft w:val="0"/>
      <w:marRight w:val="0"/>
      <w:marTop w:val="0"/>
      <w:marBottom w:val="0"/>
      <w:divBdr>
        <w:top w:val="none" w:sz="0" w:space="0" w:color="auto"/>
        <w:left w:val="none" w:sz="0" w:space="0" w:color="auto"/>
        <w:bottom w:val="none" w:sz="0" w:space="0" w:color="auto"/>
        <w:right w:val="none" w:sz="0" w:space="0" w:color="auto"/>
      </w:divBdr>
    </w:div>
    <w:div w:id="188613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scholar_lookup?title=Prevalence+of+Cognitive+Impairment+and+Association+With+Survival+Among+Older+Patients+With+Hematologic+Cancers&amp;author=Hshieh,+T.T.&amp;author=Jung,+W.F.&amp;author=Grande,+L.J.&amp;author=Chen,+J.&amp;author=Stone,+R.M.&amp;author=Soiffer,+R.J.&amp;author=Driver,+J.A.&amp;author=Abel,+G.A.&amp;publication_year=2018&amp;journal=JAMA+Oncol.&amp;volume=4&amp;pages=686%E2%80%93693&amp;doi=10.1001/jamaoncol.2017.5674"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ncbi.nlm.nih.gov/pubmed/30532184" TargetMode="External"/><Relationship Id="rId4" Type="http://schemas.openxmlformats.org/officeDocument/2006/relationships/settings" Target="settings.xml"/><Relationship Id="rId9" Type="http://schemas.openxmlformats.org/officeDocument/2006/relationships/hyperlink" Target="https://scholar.google.com/scholar_lookup?title=Low+dose+aspirin+blocks+breast+cancer-induced+cognitive+impairment+in+mice&amp;author=Walker,+A.K.&amp;author=Chang,+A.&amp;author=Ziegler,+A.I.&amp;author=Dhillon,+H.M.&amp;author=Vardy,+J.L.&amp;author=Sloan,+E.K.&amp;publication_year=2018&amp;journal=PloS+ONE&amp;volume=13&amp;pages=e0208593&amp;doi=10.1371/journal.pone.0208593&amp;pmid=30532184"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582</Words>
  <Characters>3323</Characters>
  <Application>Microsoft Office Word</Application>
  <DocSecurity>0</DocSecurity>
  <Lines>27</Lines>
  <Paragraphs>7</Paragraphs>
  <ScaleCrop>false</ScaleCrop>
  <Company/>
  <LinksUpToDate>false</LinksUpToDate>
  <CharactersWithSpaces>3898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2019-07-31T21:23:00Z</dcterms:created>
  <dcterms:modified xsi:type="dcterms:W3CDTF">2019-07-31T21:23:00Z</dcterms:modified>
</cp:coreProperties>
</file>