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Physicians in-training perception on the utilization of neurosonology in the management of neurovascular patients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May Adel AlHamid *1,2, Dawn Whyte *1, Christine Hawkes *1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1- Sunnybrook Health Sciences Centre, Toronto, Ontario, Canada</w:t>
      </w:r>
    </w:p>
    <w:p w:rsidR="00000000" w:rsidDel="00000000" w:rsidP="00000000" w:rsidRDefault="00000000" w:rsidRPr="00000000" w14:paraId="00000006">
      <w:pPr>
        <w:rPr/>
      </w:pPr>
      <w:r w:rsidDel="00000000" w:rsidR="00000000" w:rsidRPr="00000000">
        <w:rPr>
          <w:rtl w:val="0"/>
        </w:rPr>
        <w:t xml:space="preserve">2- King Fahd University Hospital, Khobar, Eastern Province, Saudi Arabia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Introduction </w:t>
      </w:r>
    </w:p>
    <w:p w:rsidR="00000000" w:rsidDel="00000000" w:rsidP="00000000" w:rsidRDefault="00000000" w:rsidRPr="00000000" w14:paraId="00000009">
      <w:pPr>
        <w:rPr/>
      </w:pPr>
      <w:r w:rsidDel="00000000" w:rsidR="00000000" w:rsidRPr="00000000">
        <w:rPr>
          <w:rtl w:val="0"/>
        </w:rPr>
        <w:t xml:space="preserve">Neurosonology for extra and intracranial neurovascular disease has established applications in neurological emergencies. The applications and utilization of this technology is variable among different institutions and physicians.</w:t>
      </w:r>
    </w:p>
    <w:p w:rsidR="00000000" w:rsidDel="00000000" w:rsidP="00000000" w:rsidRDefault="00000000" w:rsidRPr="00000000" w14:paraId="0000000A">
      <w:pPr>
        <w:rPr/>
      </w:pPr>
      <w:r w:rsidDel="00000000" w:rsidR="00000000" w:rsidRPr="00000000">
        <w:rPr>
          <w:rtl w:val="0"/>
        </w:rPr>
        <w:t xml:space="preserve">We aim to study the physicians in-training perception about the value of neurosonology in neurovascular patients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Methods: This is a cross sectional study via questionnaire targeting residents training in neurology (R1 to R5). A ten question questionnaire was shared with neurology trainees, and completed prior to and after a didactic neurosonology lecture. It consisted of questions about the principles of neurosonology, acquisition of images, interpretation of these images and the influence it had on active care for neurovascular patients. The questionnaire data was collected and analyzed, pre and post didactic lecture.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Results </w:t>
      </w:r>
    </w:p>
    <w:p w:rsidR="00000000" w:rsidDel="00000000" w:rsidP="00000000" w:rsidRDefault="00000000" w:rsidRPr="00000000" w14:paraId="00000012">
      <w:pPr>
        <w:rPr/>
      </w:pPr>
      <w:r w:rsidDel="00000000" w:rsidR="00000000" w:rsidRPr="00000000">
        <w:rPr>
          <w:rtl w:val="0"/>
        </w:rPr>
        <w:t xml:space="preserve">15 residents completed the two-part questionnaire. The questionnaire showed an average “Yes” response of 4 and 9, for pre-lecture and post-lecture questionnaire respectively (figure 1). It is noted that at the senior level (R5) and the junior level (R2), there was a significant improvement in post-lecture “Yes” responses (figure 2).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Conclusion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Our small cohort demonstrated that among residents in-training there is a lack of awareness about the full scope of indications and applications of neurosonology in neurovascular patients. Future work to study the effect of incorporating a practical neurosonology curriculum and its influence on the management of neurovascular patients.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Figure 1</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              Figure 2</w:t>
      </w:r>
      <w:r w:rsidDel="00000000" w:rsidR="00000000" w:rsidRPr="00000000">
        <w:rPr/>
        <w:drawing>
          <wp:anchor allowOverlap="1" behindDoc="0" distB="152400" distT="152400" distL="152400" distR="152400" hidden="0" layoutInCell="1" locked="0" relativeHeight="0" simplePos="0">
            <wp:simplePos x="0" y="0"/>
            <wp:positionH relativeFrom="page">
              <wp:posOffset>914400</wp:posOffset>
            </wp:positionH>
            <wp:positionV relativeFrom="page">
              <wp:posOffset>914400</wp:posOffset>
            </wp:positionV>
            <wp:extent cx="4314190" cy="1972310"/>
            <wp:effectExtent b="0" l="0" r="0" t="0"/>
            <wp:wrapTopAndBottom distB="152400" distT="1524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314190" cy="1972310"/>
                    </a:xfrm>
                    <a:prstGeom prst="rect"/>
                    <a:ln/>
                  </pic:spPr>
                </pic:pic>
              </a:graphicData>
            </a:graphic>
          </wp:anchor>
        </w:drawing>
      </w:r>
      <w:r w:rsidDel="00000000" w:rsidR="00000000" w:rsidRPr="00000000">
        <w:rPr>
          <w:rtl w:val="0"/>
        </w:rPr>
      </w:r>
      <w:r w:rsidDel="00000000" w:rsidR="00000000" w:rsidRPr="00000000">
        <w:drawing>
          <wp:anchor allowOverlap="1" behindDoc="0" distB="0" distT="0" distL="152400" distR="152400" hidden="0" layoutInCell="1" locked="0" relativeHeight="0" simplePos="0">
            <wp:simplePos x="0" y="0"/>
            <wp:positionH relativeFrom="column">
              <wp:posOffset>152400</wp:posOffset>
            </wp:positionH>
            <wp:positionV relativeFrom="paragraph">
              <wp:posOffset>0</wp:posOffset>
            </wp:positionV>
            <wp:extent cx="5114925" cy="38100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114925" cy="3810000"/>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waYpK83wowEetLzK+CkpNyduKw==">CgMxLjA4AHIhMW82Y05paG42RDN4VUR4YmZLY28xMjVBVi1mYTBnbWhp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