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9008D" w14:textId="77777777" w:rsidR="005E6094" w:rsidRDefault="005E6094">
      <w:pPr>
        <w:pStyle w:val="BodyText"/>
        <w:spacing w:before="4"/>
        <w:ind w:left="0"/>
        <w:jc w:val="left"/>
        <w:rPr>
          <w:sz w:val="27"/>
        </w:rPr>
      </w:pPr>
    </w:p>
    <w:p w14:paraId="4DCDA797" w14:textId="77777777" w:rsidR="009319CE" w:rsidRPr="009319CE" w:rsidRDefault="009319CE" w:rsidP="009319CE">
      <w:pPr>
        <w:spacing w:line="480" w:lineRule="auto"/>
        <w:rPr>
          <w:b/>
        </w:rPr>
      </w:pPr>
      <w:bookmarkStart w:id="0" w:name="_Hlk148799650"/>
      <w:r w:rsidRPr="009319CE">
        <w:rPr>
          <w:b/>
          <w:sz w:val="28"/>
          <w:szCs w:val="28"/>
        </w:rPr>
        <w:t>Claustrum Hyperintensities: Is It A Sign for Autoimmune Epilepsy?</w:t>
      </w:r>
      <w:r w:rsidRPr="009319CE">
        <w:rPr>
          <w:b/>
        </w:rPr>
        <w:t xml:space="preserve"> </w:t>
      </w:r>
    </w:p>
    <w:p w14:paraId="3C8AA36F" w14:textId="16874E95" w:rsidR="009319CE" w:rsidRPr="009319CE" w:rsidRDefault="009319CE" w:rsidP="009319CE">
      <w:pPr>
        <w:spacing w:line="480" w:lineRule="auto"/>
        <w:rPr>
          <w:b/>
          <w:bCs/>
        </w:rPr>
      </w:pPr>
      <w:r w:rsidRPr="009319CE">
        <w:rPr>
          <w:b/>
          <w:bCs/>
        </w:rPr>
        <w:t>Al</w:t>
      </w:r>
      <w:bookmarkStart w:id="1" w:name="_Hlk148798492"/>
      <w:r w:rsidRPr="009319CE">
        <w:rPr>
          <w:b/>
          <w:bCs/>
        </w:rPr>
        <w:t>-Zahraa Al-Saidi</w:t>
      </w:r>
      <w:r>
        <w:rPr>
          <w:b/>
          <w:bCs/>
        </w:rPr>
        <w:t xml:space="preserve"> </w:t>
      </w:r>
      <w:r w:rsidRPr="009319CE">
        <w:rPr>
          <w:b/>
          <w:bCs/>
        </w:rPr>
        <w:t>¹</w:t>
      </w:r>
      <w:r w:rsidRPr="009319CE">
        <w:rPr>
          <w:b/>
          <w:bCs/>
        </w:rPr>
        <w:t xml:space="preserve">, Eiman Al-Ajmi </w:t>
      </w:r>
      <w:r w:rsidRPr="009319CE">
        <w:rPr>
          <w:b/>
          <w:bCs/>
        </w:rPr>
        <w:t>²</w:t>
      </w:r>
      <w:r w:rsidRPr="009319CE">
        <w:rPr>
          <w:b/>
          <w:bCs/>
        </w:rPr>
        <w:t>, Ahmed</w:t>
      </w:r>
      <w:r w:rsidR="00A339AD">
        <w:rPr>
          <w:b/>
          <w:bCs/>
        </w:rPr>
        <w:t xml:space="preserve"> </w:t>
      </w:r>
      <w:r w:rsidRPr="009319CE">
        <w:rPr>
          <w:b/>
          <w:bCs/>
        </w:rPr>
        <w:t xml:space="preserve">Mansy </w:t>
      </w:r>
      <w:r w:rsidRPr="009319CE">
        <w:rPr>
          <w:b/>
          <w:bCs/>
        </w:rPr>
        <w:t>³</w:t>
      </w:r>
      <w:r w:rsidRPr="009319CE">
        <w:rPr>
          <w:b/>
          <w:bCs/>
        </w:rPr>
        <w:t xml:space="preserve">, Fatema Al-Amrani </w:t>
      </w:r>
      <w:r w:rsidRPr="009319CE">
        <w:rPr>
          <w:b/>
          <w:bCs/>
        </w:rPr>
        <w:t>³</w:t>
      </w:r>
    </w:p>
    <w:p w14:paraId="73C52160" w14:textId="09594FA7" w:rsidR="009319CE" w:rsidRPr="009319CE" w:rsidRDefault="00000000" w:rsidP="009319CE">
      <w:pPr>
        <w:widowControl/>
        <w:autoSpaceDE/>
        <w:autoSpaceDN/>
        <w:contextualSpacing/>
        <w:rPr>
          <w:rFonts w:asciiTheme="minorHAnsi" w:eastAsiaTheme="minorEastAsia" w:hAnsiTheme="minorHAnsi"/>
          <w:sz w:val="24"/>
          <w:szCs w:val="24"/>
        </w:rPr>
      </w:pPr>
      <w:r w:rsidRPr="009319CE">
        <w:rPr>
          <w:rFonts w:asciiTheme="minorHAnsi" w:hAnsiTheme="minorHAnsi"/>
          <w:color w:val="231F20"/>
          <w:spacing w:val="-1"/>
          <w:sz w:val="24"/>
          <w:szCs w:val="24"/>
          <w:vertAlign w:val="superscript"/>
        </w:rPr>
        <w:t>1</w:t>
      </w:r>
      <w:r w:rsidR="009319CE" w:rsidRPr="009319CE">
        <w:rPr>
          <w:rFonts w:asciiTheme="minorHAnsi" w:hAnsiTheme="minorHAnsi"/>
          <w:color w:val="231F20"/>
          <w:spacing w:val="-1"/>
          <w:sz w:val="24"/>
          <w:szCs w:val="24"/>
        </w:rPr>
        <w:t xml:space="preserve"> </w:t>
      </w:r>
      <w:r w:rsidR="009319CE" w:rsidRPr="009319CE">
        <w:rPr>
          <w:rFonts w:asciiTheme="minorHAnsi" w:hAnsiTheme="minorHAnsi"/>
          <w:sz w:val="24"/>
          <w:szCs w:val="24"/>
        </w:rPr>
        <w:t>College of Medicine, Sultan Qaboos University</w:t>
      </w:r>
      <w:r w:rsidR="009319CE">
        <w:rPr>
          <w:rFonts w:asciiTheme="minorHAnsi" w:hAnsiTheme="minorHAnsi"/>
          <w:sz w:val="24"/>
          <w:szCs w:val="24"/>
        </w:rPr>
        <w:t xml:space="preserve"> (SQU)</w:t>
      </w:r>
      <w:r w:rsidR="009319CE" w:rsidRPr="009319CE">
        <w:rPr>
          <w:rFonts w:asciiTheme="minorHAnsi" w:hAnsiTheme="minorHAnsi"/>
          <w:sz w:val="24"/>
          <w:szCs w:val="24"/>
        </w:rPr>
        <w:t xml:space="preserve">, Muscat, Oman </w:t>
      </w:r>
    </w:p>
    <w:p w14:paraId="748FA360" w14:textId="75BD2553" w:rsidR="009319CE" w:rsidRPr="009319CE" w:rsidRDefault="009319CE" w:rsidP="009319CE">
      <w:pPr>
        <w:widowControl/>
        <w:autoSpaceDE/>
        <w:autoSpaceDN/>
        <w:contextualSpacing/>
        <w:rPr>
          <w:rFonts w:asciiTheme="minorHAnsi" w:hAnsiTheme="minorHAnsi" w:cstheme="majorBidi"/>
          <w:bCs/>
          <w:sz w:val="24"/>
          <w:szCs w:val="24"/>
        </w:rPr>
      </w:pPr>
      <w:r w:rsidRPr="009319CE">
        <w:rPr>
          <w:rFonts w:asciiTheme="minorHAnsi" w:hAnsiTheme="minorHAnsi" w:cstheme="majorBidi"/>
          <w:bCs/>
          <w:sz w:val="24"/>
          <w:szCs w:val="24"/>
        </w:rPr>
        <w:t xml:space="preserve">² </w:t>
      </w:r>
      <w:r w:rsidRPr="009319CE">
        <w:rPr>
          <w:rFonts w:asciiTheme="minorHAnsi" w:hAnsiTheme="minorHAnsi" w:cstheme="majorBidi"/>
          <w:bCs/>
          <w:sz w:val="24"/>
          <w:szCs w:val="24"/>
        </w:rPr>
        <w:t xml:space="preserve">Department of Radiology and Molecular imaging, </w:t>
      </w:r>
      <w:r>
        <w:rPr>
          <w:rFonts w:asciiTheme="minorHAnsi" w:hAnsiTheme="minorHAnsi" w:cstheme="majorBidi"/>
          <w:bCs/>
          <w:sz w:val="24"/>
          <w:szCs w:val="24"/>
        </w:rPr>
        <w:t>SQU</w:t>
      </w:r>
      <w:r w:rsidRPr="009319CE">
        <w:rPr>
          <w:rFonts w:asciiTheme="minorHAnsi" w:hAnsiTheme="minorHAnsi" w:cstheme="majorBidi"/>
          <w:bCs/>
          <w:sz w:val="24"/>
          <w:szCs w:val="24"/>
        </w:rPr>
        <w:t xml:space="preserve"> Hospital, </w:t>
      </w:r>
      <w:r>
        <w:rPr>
          <w:rFonts w:asciiTheme="minorHAnsi" w:hAnsiTheme="minorHAnsi" w:cstheme="majorBidi"/>
          <w:bCs/>
          <w:sz w:val="24"/>
          <w:szCs w:val="24"/>
        </w:rPr>
        <w:t>SQU</w:t>
      </w:r>
      <w:r w:rsidRPr="009319CE">
        <w:rPr>
          <w:rFonts w:asciiTheme="minorHAnsi" w:hAnsiTheme="minorHAnsi" w:cstheme="majorBidi"/>
          <w:bCs/>
          <w:sz w:val="24"/>
          <w:szCs w:val="24"/>
        </w:rPr>
        <w:t xml:space="preserve">, Muscat, Oman </w:t>
      </w:r>
    </w:p>
    <w:p w14:paraId="11ADBE77" w14:textId="1A22D5D9" w:rsidR="009319CE" w:rsidRPr="009319CE" w:rsidRDefault="009319CE" w:rsidP="009319CE">
      <w:pPr>
        <w:widowControl/>
        <w:autoSpaceDE/>
        <w:autoSpaceDN/>
        <w:contextualSpacing/>
        <w:rPr>
          <w:rFonts w:asciiTheme="minorHAnsi" w:eastAsia="Batang" w:hAnsiTheme="minorHAnsi" w:cstheme="majorBidi"/>
          <w:bCs/>
          <w:sz w:val="24"/>
          <w:szCs w:val="24"/>
          <w:lang w:eastAsia="ko-KR"/>
        </w:rPr>
      </w:pPr>
      <w:r w:rsidRPr="009319CE">
        <w:rPr>
          <w:rFonts w:asciiTheme="minorHAnsi" w:hAnsiTheme="minorHAnsi" w:cstheme="majorBidi"/>
          <w:bCs/>
          <w:sz w:val="24"/>
          <w:szCs w:val="24"/>
        </w:rPr>
        <w:t xml:space="preserve">³ </w:t>
      </w:r>
      <w:r w:rsidRPr="009319CE">
        <w:rPr>
          <w:rFonts w:asciiTheme="minorHAnsi" w:hAnsiTheme="minorHAnsi" w:cstheme="majorBidi"/>
          <w:bCs/>
          <w:sz w:val="24"/>
          <w:szCs w:val="24"/>
        </w:rPr>
        <w:t xml:space="preserve">Pediatric Neurology Unit, Child Health Department, </w:t>
      </w:r>
      <w:r>
        <w:rPr>
          <w:rFonts w:asciiTheme="minorHAnsi" w:hAnsiTheme="minorHAnsi" w:cstheme="majorBidi"/>
          <w:bCs/>
          <w:sz w:val="24"/>
          <w:szCs w:val="24"/>
        </w:rPr>
        <w:t>SQU</w:t>
      </w:r>
      <w:r w:rsidRPr="009319CE">
        <w:rPr>
          <w:rFonts w:asciiTheme="minorHAnsi" w:hAnsiTheme="minorHAnsi" w:cstheme="majorBidi"/>
          <w:bCs/>
          <w:sz w:val="24"/>
          <w:szCs w:val="24"/>
        </w:rPr>
        <w:t xml:space="preserve"> Hospital, </w:t>
      </w:r>
      <w:r>
        <w:rPr>
          <w:rFonts w:asciiTheme="minorHAnsi" w:hAnsiTheme="minorHAnsi" w:cstheme="majorBidi"/>
          <w:bCs/>
          <w:sz w:val="24"/>
          <w:szCs w:val="24"/>
        </w:rPr>
        <w:t>SQU</w:t>
      </w:r>
      <w:r w:rsidRPr="009319CE">
        <w:rPr>
          <w:rFonts w:asciiTheme="minorHAnsi" w:hAnsiTheme="minorHAnsi" w:cstheme="majorBidi"/>
          <w:bCs/>
          <w:sz w:val="24"/>
          <w:szCs w:val="24"/>
        </w:rPr>
        <w:t xml:space="preserve">, Muscat, Oman </w:t>
      </w:r>
    </w:p>
    <w:bookmarkEnd w:id="0"/>
    <w:bookmarkEnd w:id="1"/>
    <w:p w14:paraId="7B338B72" w14:textId="77777777" w:rsidR="005E6094" w:rsidRDefault="005E6094">
      <w:pPr>
        <w:pStyle w:val="BodyText"/>
        <w:spacing w:before="0"/>
        <w:ind w:left="0"/>
        <w:jc w:val="left"/>
        <w:rPr>
          <w:rFonts w:ascii="Calibri"/>
          <w:sz w:val="20"/>
        </w:rPr>
      </w:pPr>
    </w:p>
    <w:p w14:paraId="03799286" w14:textId="77777777" w:rsidR="005E6094" w:rsidRDefault="00000000">
      <w:pPr>
        <w:spacing w:before="166"/>
        <w:ind w:left="136"/>
        <w:rPr>
          <w:rFonts w:ascii="Calibri"/>
          <w:b/>
          <w:sz w:val="28"/>
        </w:rPr>
      </w:pPr>
      <w:r>
        <w:rPr>
          <w:rFonts w:ascii="Calibri"/>
          <w:b/>
          <w:color w:val="F78F2C"/>
          <w:sz w:val="28"/>
        </w:rPr>
        <w:t>Abstract:</w:t>
      </w:r>
    </w:p>
    <w:p w14:paraId="46DFC131" w14:textId="04528B1B" w:rsidR="00A339AD" w:rsidRPr="00A339AD" w:rsidRDefault="00A339AD" w:rsidP="00A339AD">
      <w:pPr>
        <w:pStyle w:val="BodyText"/>
        <w:spacing w:before="84" w:line="216" w:lineRule="auto"/>
        <w:ind w:left="136" w:right="3093"/>
        <w:rPr>
          <w:bCs/>
          <w:color w:val="231F20"/>
          <w:spacing w:val="-1"/>
        </w:rPr>
      </w:pPr>
      <w:r w:rsidRPr="00A339AD">
        <w:rPr>
          <w:color w:val="231F20"/>
          <w:spacing w:val="-1"/>
        </w:rPr>
        <w:t>Background</w:t>
      </w:r>
      <w:r w:rsidRPr="00A339AD">
        <w:rPr>
          <w:bCs/>
          <w:color w:val="231F20"/>
          <w:spacing w:val="-1"/>
        </w:rPr>
        <w:t xml:space="preserve">: Autoimmune encephalitis (AE) is a common cause of encephalitis in pediatric population. It can present with a wide spectrum of symptoms ranging from psychiatric manifestations, neuroregression, seizures, movement disorders, altered mental status and autonomic instability. Magnetic resonance imaging usually shows abnormalities especially in T2/FLAIR sequence. Recently, claustrum hyperintensities have been described as a neuroimaging finding that could be associated with seronegative AE. </w:t>
      </w:r>
    </w:p>
    <w:p w14:paraId="6D0EFB61" w14:textId="4629605D" w:rsidR="00A339AD" w:rsidRPr="00A339AD" w:rsidRDefault="00A339AD" w:rsidP="00A339AD">
      <w:pPr>
        <w:pStyle w:val="BodyText"/>
        <w:spacing w:before="84" w:line="216" w:lineRule="auto"/>
        <w:ind w:left="136" w:right="3093"/>
        <w:rPr>
          <w:bCs/>
          <w:color w:val="231F20"/>
          <w:spacing w:val="-1"/>
        </w:rPr>
      </w:pPr>
      <w:r w:rsidRPr="00A339AD">
        <w:rPr>
          <w:bCs/>
          <w:color w:val="231F20"/>
          <w:spacing w:val="-1"/>
        </w:rPr>
        <w:t xml:space="preserve">Objectives: A retrospective observational study aiming to look for underlying clinical features, biochemical markers, and response to immunomodulation in two patients presenting with intractable seizures and found to have claustrum hyperintensities on MRI. </w:t>
      </w:r>
    </w:p>
    <w:p w14:paraId="72CE96CC" w14:textId="3A9DB3E5" w:rsidR="00A339AD" w:rsidRPr="00A339AD" w:rsidRDefault="00A339AD" w:rsidP="00A339AD">
      <w:pPr>
        <w:pStyle w:val="BodyText"/>
        <w:spacing w:before="84" w:line="216" w:lineRule="auto"/>
        <w:ind w:left="136" w:right="3093"/>
        <w:rPr>
          <w:bCs/>
          <w:color w:val="231F20"/>
          <w:spacing w:val="-1"/>
        </w:rPr>
      </w:pPr>
      <w:r w:rsidRPr="00A339AD">
        <w:rPr>
          <w:bCs/>
          <w:color w:val="231F20"/>
          <w:spacing w:val="-1"/>
        </w:rPr>
        <w:t xml:space="preserve">Design/Methods: Two patients meeting the diagnostic criteria for seronegative autoimmune encephalitis and have distinctive neuroimaging features including claustrum hyperintensities in T2/FLAIR sequences. All the clinical data, biochemical markers, response to immunotherapy and long-term outcome were reviewed from patients’ charts. </w:t>
      </w:r>
    </w:p>
    <w:p w14:paraId="7A7BF2F0" w14:textId="52857F9A" w:rsidR="00A339AD" w:rsidRPr="00A339AD" w:rsidRDefault="00A339AD" w:rsidP="00A339AD">
      <w:pPr>
        <w:pStyle w:val="BodyText"/>
        <w:spacing w:before="84" w:line="216" w:lineRule="auto"/>
        <w:ind w:left="136" w:right="3093"/>
        <w:rPr>
          <w:bCs/>
          <w:color w:val="231F20"/>
          <w:spacing w:val="-1"/>
        </w:rPr>
      </w:pPr>
      <w:r w:rsidRPr="00A339AD">
        <w:rPr>
          <w:bCs/>
          <w:color w:val="231F20"/>
          <w:spacing w:val="-1"/>
        </w:rPr>
        <w:t xml:space="preserve">Results: Two patients with MRI findings of bilateral claustrum hyperintensities on T2/FLAIR sequence and met the diagnostic criteria for seronegative AE were included in the study. Both patients presented with intractable epilepsy with poor response to anti-seizure medications. CSF showed pleocytosis, with high protein and normal glucose with negative autoantibodies. EEG showed frequent epileptic discharges. First patient responded to pulse therapy with no further seizures and second patient required pulse therapy and intravenous immunoglobulin. Her seizures’ control improved with this immunomodulation. </w:t>
      </w:r>
    </w:p>
    <w:p w14:paraId="1AE41945" w14:textId="53B5337D" w:rsidR="005E6094" w:rsidRPr="00A339AD" w:rsidRDefault="00A339AD" w:rsidP="00A339AD">
      <w:pPr>
        <w:pStyle w:val="BodyText"/>
        <w:spacing w:before="84" w:line="216" w:lineRule="auto"/>
        <w:ind w:left="136" w:right="3093"/>
        <w:rPr>
          <w:bCs/>
          <w:color w:val="231F20"/>
          <w:spacing w:val="-1"/>
        </w:rPr>
      </w:pPr>
      <w:r w:rsidRPr="00A339AD">
        <w:rPr>
          <w:bCs/>
          <w:color w:val="231F20"/>
          <w:spacing w:val="-1"/>
        </w:rPr>
        <w:t xml:space="preserve">Conclusions: MRI pattern characterized by high T2-signal intensity and/or in patients meeting the criteria for AE, might be an early sign of AE in patients with seronegative AE. </w:t>
      </w:r>
    </w:p>
    <w:p w14:paraId="38EE361B" w14:textId="4F0B2A89" w:rsidR="005E6094" w:rsidRDefault="004A225D">
      <w:r>
        <w:rPr>
          <w:noProof/>
        </w:rPr>
        <w:drawing>
          <wp:anchor distT="0" distB="0" distL="114300" distR="114300" simplePos="0" relativeHeight="251660800" behindDoc="0" locked="0" layoutInCell="1" allowOverlap="1" wp14:anchorId="6E4A5E53" wp14:editId="0A7450F5">
            <wp:simplePos x="0" y="0"/>
            <wp:positionH relativeFrom="margin">
              <wp:posOffset>3085776</wp:posOffset>
            </wp:positionH>
            <wp:positionV relativeFrom="margin">
              <wp:posOffset>6755274</wp:posOffset>
            </wp:positionV>
            <wp:extent cx="1099693" cy="1404000"/>
            <wp:effectExtent l="0" t="0" r="5715" b="5715"/>
            <wp:wrapSquare wrapText="bothSides"/>
            <wp:docPr id="1" name="Picture 1" descr="A person in a black head scar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 black head scarf&#10;&#10;Description automatically generated"/>
                    <pic:cNvPicPr>
                      <a:picLocks noChangeAspect="1"/>
                    </pic:cNvPicPr>
                  </pic:nvPicPr>
                  <pic:blipFill rotWithShape="1">
                    <a:blip r:embed="rId8">
                      <a:extLst>
                        <a:ext uri="{28A0092B-C50C-407E-A947-70E740481C1C}">
                          <a14:useLocalDpi xmlns:a14="http://schemas.microsoft.com/office/drawing/2010/main" val="0"/>
                        </a:ext>
                      </a:extLst>
                    </a:blip>
                    <a:srcRect l="42716" t="33801" r="30959" b="43767"/>
                    <a:stretch/>
                  </pic:blipFill>
                  <pic:spPr bwMode="auto">
                    <a:xfrm>
                      <a:off x="0" y="0"/>
                      <a:ext cx="1099693" cy="140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CC0FE7" w14:textId="77777777" w:rsidR="004A225D" w:rsidRDefault="004A225D"/>
    <w:p w14:paraId="0E8B9EBC" w14:textId="419ED7F8" w:rsidR="004A225D" w:rsidRPr="004A225D" w:rsidRDefault="004A225D" w:rsidP="004A225D">
      <w:bookmarkStart w:id="2" w:name="_Hlk148799073"/>
      <w:r w:rsidRPr="004A225D">
        <w:rPr>
          <w:b/>
          <w:bCs/>
        </w:rPr>
        <w:t>Presenter Name:</w:t>
      </w:r>
      <w:r w:rsidRPr="004A225D">
        <w:t xml:space="preserve"> AL-Zahraa Al-Saidi</w:t>
      </w:r>
    </w:p>
    <w:p w14:paraId="1D553DD5" w14:textId="57781CF3" w:rsidR="004A225D" w:rsidRPr="004A225D" w:rsidRDefault="004A225D" w:rsidP="004A225D">
      <w:r w:rsidRPr="004A225D">
        <w:rPr>
          <w:b/>
          <w:bCs/>
        </w:rPr>
        <w:t>Mode of Presentation:</w:t>
      </w:r>
      <w:r w:rsidRPr="004A225D">
        <w:t xml:space="preserve"> </w:t>
      </w:r>
      <w:r w:rsidR="009E098B">
        <w:t>Poster</w:t>
      </w:r>
      <w:r w:rsidRPr="004A225D">
        <w:t xml:space="preserve"> presentation </w:t>
      </w:r>
    </w:p>
    <w:p w14:paraId="6A31DC4F" w14:textId="6FE339BC" w:rsidR="004A225D" w:rsidRPr="004A225D" w:rsidRDefault="004A225D" w:rsidP="004A225D">
      <w:r w:rsidRPr="004A225D">
        <w:rPr>
          <w:b/>
          <w:bCs/>
        </w:rPr>
        <w:t>Contact number:</w:t>
      </w:r>
      <w:r w:rsidRPr="004A225D">
        <w:t xml:space="preserve"> +968 97750994</w:t>
      </w:r>
    </w:p>
    <w:bookmarkEnd w:id="2"/>
    <w:p w14:paraId="44563E50" w14:textId="259E6D19" w:rsidR="004A225D" w:rsidRDefault="004A225D">
      <w:pPr>
        <w:sectPr w:rsidR="004A225D">
          <w:headerReference w:type="default" r:id="rId9"/>
          <w:footerReference w:type="default" r:id="rId10"/>
          <w:type w:val="continuous"/>
          <w:pgSz w:w="11910" w:h="16840"/>
          <w:pgMar w:top="1840" w:right="560" w:bottom="780" w:left="620" w:header="299" w:footer="589" w:gutter="0"/>
          <w:pgNumType w:start="1"/>
          <w:cols w:space="720"/>
        </w:sectPr>
      </w:pPr>
    </w:p>
    <w:p w14:paraId="3BA149F2" w14:textId="77777777" w:rsidR="005E6094" w:rsidRDefault="005E6094">
      <w:pPr>
        <w:pStyle w:val="BodyText"/>
        <w:spacing w:before="0"/>
        <w:ind w:left="0"/>
        <w:jc w:val="left"/>
        <w:rPr>
          <w:sz w:val="17"/>
        </w:rPr>
      </w:pPr>
    </w:p>
    <w:p w14:paraId="359E9C4F" w14:textId="77777777" w:rsidR="005E6094" w:rsidRDefault="005E6094">
      <w:pPr>
        <w:rPr>
          <w:sz w:val="17"/>
        </w:rPr>
        <w:sectPr w:rsidR="005E6094">
          <w:pgSz w:w="11910" w:h="16840"/>
          <w:pgMar w:top="1840" w:right="560" w:bottom="780" w:left="620" w:header="299" w:footer="589" w:gutter="0"/>
          <w:cols w:space="720"/>
        </w:sectPr>
      </w:pPr>
    </w:p>
    <w:p w14:paraId="4DDA2FCF" w14:textId="77777777" w:rsidR="005E6094" w:rsidRDefault="00000000">
      <w:pPr>
        <w:pStyle w:val="Heading2"/>
      </w:pPr>
      <w:r>
        <w:rPr>
          <w:color w:val="F78F2C"/>
        </w:rPr>
        <w:t>References:</w:t>
      </w:r>
    </w:p>
    <w:p w14:paraId="67F44123" w14:textId="2073CD9C" w:rsidR="004A225D" w:rsidRDefault="004A225D" w:rsidP="004A225D">
      <w:pPr>
        <w:pStyle w:val="ListParagraph"/>
        <w:numPr>
          <w:ilvl w:val="0"/>
          <w:numId w:val="3"/>
        </w:numPr>
        <w:spacing w:line="216" w:lineRule="auto"/>
        <w:rPr>
          <w:color w:val="231F20"/>
          <w:spacing w:val="-1"/>
          <w:sz w:val="24"/>
        </w:rPr>
      </w:pPr>
      <w:r w:rsidRPr="004A225D">
        <w:rPr>
          <w:b/>
          <w:bCs/>
          <w:color w:val="231F20"/>
          <w:spacing w:val="-1"/>
          <w:sz w:val="24"/>
        </w:rPr>
        <w:fldChar w:fldCharType="begin" w:fldLock="1"/>
      </w:r>
      <w:r w:rsidRPr="004A225D">
        <w:rPr>
          <w:b/>
          <w:bCs/>
          <w:color w:val="231F20"/>
          <w:spacing w:val="-1"/>
          <w:sz w:val="24"/>
        </w:rPr>
        <w:instrText xml:space="preserve">ADDIN Mendeley Bibliography CSL_BIBLIOGRAPHY </w:instrText>
      </w:r>
      <w:r w:rsidRPr="004A225D">
        <w:rPr>
          <w:b/>
          <w:bCs/>
          <w:color w:val="231F20"/>
          <w:spacing w:val="-1"/>
          <w:sz w:val="24"/>
        </w:rPr>
        <w:fldChar w:fldCharType="separate"/>
      </w:r>
      <w:r w:rsidRPr="004A225D">
        <w:rPr>
          <w:color w:val="231F20"/>
          <w:spacing w:val="-1"/>
          <w:sz w:val="24"/>
        </w:rPr>
        <w:t xml:space="preserve">de Bruijn, M. A. A. M., Bruijstens, A. L., Bastiaansen, A. E. M., van Sonderen, A., Schreurs, M. W. J., Sillevis Smitt, P. A. E., Hintzen, R. Q., Neuteboom, R. F. and Titulaer, M. J. (2020) Pediatric autoimmune encephalitis: Recognition and diagnosis, </w:t>
      </w:r>
      <w:r w:rsidRPr="004A225D">
        <w:rPr>
          <w:i/>
          <w:iCs/>
          <w:color w:val="231F20"/>
          <w:spacing w:val="-1"/>
          <w:sz w:val="24"/>
        </w:rPr>
        <w:t>Neurology(R) neuroimmunology &amp; neuroinflammation</w:t>
      </w:r>
      <w:r w:rsidRPr="004A225D">
        <w:rPr>
          <w:color w:val="231F20"/>
          <w:spacing w:val="-1"/>
          <w:sz w:val="24"/>
        </w:rPr>
        <w:t xml:space="preserve">, 7(3): 1–12. </w:t>
      </w:r>
    </w:p>
    <w:p w14:paraId="776D454F" w14:textId="3EF4B645"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Cellucci, T., Van Mater, H., Graus, F., Muscal, E., Gallentine, W., Klein-Gitelman, M. S., … Dale, R. C. (2020) Clinical approach to the diagnosis of autoimmune encephalitis in the pediatric patient, </w:t>
      </w:r>
      <w:r w:rsidRPr="004A225D">
        <w:rPr>
          <w:i/>
          <w:iCs/>
          <w:color w:val="231F20"/>
          <w:spacing w:val="-1"/>
          <w:sz w:val="24"/>
        </w:rPr>
        <w:t>Neurology(R) neuroimmunology &amp; neuroinflammation</w:t>
      </w:r>
      <w:r w:rsidRPr="004A225D">
        <w:rPr>
          <w:color w:val="231F20"/>
          <w:spacing w:val="-1"/>
          <w:sz w:val="24"/>
        </w:rPr>
        <w:t xml:space="preserve">, 7(2): 1–13. </w:t>
      </w:r>
    </w:p>
    <w:p w14:paraId="261EEC2B"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Dalmau, J. and Graus, F. (2018) Antibody-Mediated Encephalitis, </w:t>
      </w:r>
      <w:r w:rsidRPr="004A225D">
        <w:rPr>
          <w:i/>
          <w:iCs/>
          <w:color w:val="231F20"/>
          <w:spacing w:val="-1"/>
          <w:sz w:val="24"/>
        </w:rPr>
        <w:t>New England Journal of Medicine</w:t>
      </w:r>
      <w:r w:rsidRPr="004A225D">
        <w:rPr>
          <w:color w:val="231F20"/>
          <w:spacing w:val="-1"/>
          <w:sz w:val="24"/>
        </w:rPr>
        <w:t xml:space="preserve">, 378(9): 840–851. </w:t>
      </w:r>
    </w:p>
    <w:p w14:paraId="5F513B8A" w14:textId="4A660B6D"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Dubey, D., Pittock, S. J., Kelly, C. R., McKeon, A., Lopez-Chiriboga, A. S., Lennon, V. A., … Flanagan, E. P. (2018) Autoimmune encephalitis epidemiology and a comparison to infectious encephalitis, </w:t>
      </w:r>
      <w:r w:rsidRPr="004A225D">
        <w:rPr>
          <w:i/>
          <w:iCs/>
          <w:color w:val="231F20"/>
          <w:spacing w:val="-1"/>
          <w:sz w:val="24"/>
        </w:rPr>
        <w:t>Annals of Neurology</w:t>
      </w:r>
      <w:r w:rsidRPr="004A225D">
        <w:rPr>
          <w:color w:val="231F20"/>
          <w:spacing w:val="-1"/>
          <w:sz w:val="24"/>
        </w:rPr>
        <w:t xml:space="preserve">, 83(1): 166–177. </w:t>
      </w:r>
    </w:p>
    <w:p w14:paraId="3F2F3DD4" w14:textId="1263D20C"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E Silva, R. A. and de SOUSA, T. A. P. (2019) Isolated involvement of external capsules and claustrum in status epilepticus, </w:t>
      </w:r>
      <w:r w:rsidRPr="004A225D">
        <w:rPr>
          <w:i/>
          <w:iCs/>
          <w:color w:val="231F20"/>
          <w:spacing w:val="-1"/>
          <w:sz w:val="24"/>
        </w:rPr>
        <w:t>Arquivos de Neuro-Psiquiatria</w:t>
      </w:r>
      <w:r w:rsidRPr="004A225D">
        <w:rPr>
          <w:color w:val="231F20"/>
          <w:spacing w:val="-1"/>
          <w:sz w:val="24"/>
        </w:rPr>
        <w:t xml:space="preserve">, 77(5): 369. </w:t>
      </w:r>
    </w:p>
    <w:p w14:paraId="31EE9344"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Granerod, J., Ambrose, H. E., Davies, N. W. S., Clewley, J. P., Walsh, A. L., Morgan, D., … Crowcroft, N. S. (2010) Causes of encephalitis and differences in their clinical presentations in England: A multicentre, population-based prospective study, </w:t>
      </w:r>
      <w:r w:rsidRPr="004A225D">
        <w:rPr>
          <w:i/>
          <w:iCs/>
          <w:color w:val="231F20"/>
          <w:spacing w:val="-1"/>
          <w:sz w:val="24"/>
        </w:rPr>
        <w:t>The Lancet Infectious Diseases</w:t>
      </w:r>
      <w:r w:rsidRPr="004A225D">
        <w:rPr>
          <w:color w:val="231F20"/>
          <w:spacing w:val="-1"/>
          <w:sz w:val="24"/>
        </w:rPr>
        <w:t xml:space="preserve">. Elsevier Ltd, 10(12): 835–844. </w:t>
      </w:r>
    </w:p>
    <w:p w14:paraId="0A6828AE"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Hon, K. L. E., Leung, A. K., Au, C. C. and Torres, A. R. (2021) Autoimmune Encephalitis in Children: From Suspicion to Diagnosis, </w:t>
      </w:r>
      <w:r w:rsidRPr="004A225D">
        <w:rPr>
          <w:i/>
          <w:iCs/>
          <w:color w:val="231F20"/>
          <w:spacing w:val="-1"/>
          <w:sz w:val="24"/>
        </w:rPr>
        <w:t>Cureus</w:t>
      </w:r>
      <w:r w:rsidRPr="004A225D">
        <w:rPr>
          <w:color w:val="231F20"/>
          <w:spacing w:val="-1"/>
          <w:sz w:val="24"/>
        </w:rPr>
        <w:t xml:space="preserve">, 13(2): 1–8. </w:t>
      </w:r>
    </w:p>
    <w:p w14:paraId="3237D59E"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Husari, K. and Dubey, D. (2021) Autoimmune epilepsy, </w:t>
      </w:r>
      <w:r w:rsidRPr="004A225D">
        <w:rPr>
          <w:i/>
          <w:iCs/>
          <w:color w:val="231F20"/>
          <w:spacing w:val="-1"/>
          <w:sz w:val="24"/>
        </w:rPr>
        <w:t>Neuroimmunology: Multiple Sclerosis, Autoimmune Neurology and Related Diseases</w:t>
      </w:r>
      <w:r w:rsidRPr="004A225D">
        <w:rPr>
          <w:color w:val="231F20"/>
          <w:spacing w:val="-1"/>
          <w:sz w:val="24"/>
        </w:rPr>
        <w:t xml:space="preserve">. Neurotherapeutics, 189–206. </w:t>
      </w:r>
    </w:p>
    <w:p w14:paraId="724FCF97"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Meletti, S., Giovannini, G., d’Orsi, G., Toran, L., Monti, G., Guha, R., … Slonkova, J. (2017) New-onset refractory status epilepticus with claustrum damage: Definition of the clinical and neuroimaging features, </w:t>
      </w:r>
      <w:r w:rsidRPr="004A225D">
        <w:rPr>
          <w:i/>
          <w:iCs/>
          <w:color w:val="231F20"/>
          <w:spacing w:val="-1"/>
          <w:sz w:val="24"/>
        </w:rPr>
        <w:t>Frontiers in Neurology</w:t>
      </w:r>
      <w:r w:rsidRPr="004A225D">
        <w:rPr>
          <w:color w:val="231F20"/>
          <w:spacing w:val="-1"/>
          <w:sz w:val="24"/>
        </w:rPr>
        <w:t xml:space="preserve">, 8(MAR): 1–9. </w:t>
      </w:r>
    </w:p>
    <w:p w14:paraId="5CB0007F"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Mukherjee, D., Dubey, S., Ganguly, G. and Pandit, A. (2021) Claustrum hyperintensity: A rare radiological correlate in Niemann-Pick disease, </w:t>
      </w:r>
      <w:r w:rsidRPr="004A225D">
        <w:rPr>
          <w:i/>
          <w:iCs/>
          <w:color w:val="231F20"/>
          <w:spacing w:val="-1"/>
          <w:sz w:val="24"/>
        </w:rPr>
        <w:t>BMJ Case Reports</w:t>
      </w:r>
      <w:r w:rsidRPr="004A225D">
        <w:rPr>
          <w:color w:val="231F20"/>
          <w:spacing w:val="-1"/>
          <w:sz w:val="24"/>
        </w:rPr>
        <w:t xml:space="preserve">, 14(1). </w:t>
      </w:r>
    </w:p>
    <w:p w14:paraId="6FE894FB" w14:textId="77777777" w:rsid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Sabanathan, S., Abdel-Mannan, O., Mankad, K., Siddiqui, A., Das, K., Carr, L., … Hacohen, Y. (2022) Clinical features, investigations, and outcomes of pediatric limbic encephalitis: A multicenter study, </w:t>
      </w:r>
      <w:r w:rsidRPr="004A225D">
        <w:rPr>
          <w:i/>
          <w:iCs/>
          <w:color w:val="231F20"/>
          <w:spacing w:val="-1"/>
          <w:sz w:val="24"/>
        </w:rPr>
        <w:t>Annals of Clinical and Translational Neurology</w:t>
      </w:r>
      <w:r w:rsidRPr="004A225D">
        <w:rPr>
          <w:color w:val="231F20"/>
          <w:spacing w:val="-1"/>
          <w:sz w:val="24"/>
        </w:rPr>
        <w:t xml:space="preserve">, 9(1): 67–78. </w:t>
      </w:r>
    </w:p>
    <w:p w14:paraId="4F88DFB1" w14:textId="48A85F10" w:rsidR="004A225D" w:rsidRPr="004A225D" w:rsidRDefault="004A225D" w:rsidP="004A225D">
      <w:pPr>
        <w:pStyle w:val="ListParagraph"/>
        <w:numPr>
          <w:ilvl w:val="0"/>
          <w:numId w:val="3"/>
        </w:numPr>
        <w:spacing w:line="216" w:lineRule="auto"/>
        <w:rPr>
          <w:color w:val="231F20"/>
          <w:spacing w:val="-1"/>
          <w:sz w:val="24"/>
        </w:rPr>
      </w:pPr>
      <w:r w:rsidRPr="004A225D">
        <w:rPr>
          <w:color w:val="231F20"/>
          <w:spacing w:val="-1"/>
          <w:sz w:val="24"/>
        </w:rPr>
        <w:t xml:space="preserve">Yang, F., Sun, L., Li, J. and Lin, W. (2021) Repetitive seizures after febrile period exclusively involving bilateral claustrum, </w:t>
      </w:r>
      <w:r w:rsidRPr="004A225D">
        <w:rPr>
          <w:i/>
          <w:iCs/>
          <w:color w:val="231F20"/>
          <w:spacing w:val="-1"/>
          <w:sz w:val="24"/>
        </w:rPr>
        <w:t>Medicine (United States)</w:t>
      </w:r>
      <w:r w:rsidRPr="004A225D">
        <w:rPr>
          <w:color w:val="231F20"/>
          <w:spacing w:val="-1"/>
          <w:sz w:val="24"/>
        </w:rPr>
        <w:t xml:space="preserve">, 100(37): 1–7. </w:t>
      </w:r>
    </w:p>
    <w:p w14:paraId="20FEF100" w14:textId="50FA7712" w:rsidR="005E6094" w:rsidRDefault="004A225D" w:rsidP="004A225D">
      <w:pPr>
        <w:spacing w:line="216" w:lineRule="auto"/>
        <w:jc w:val="both"/>
        <w:rPr>
          <w:sz w:val="24"/>
        </w:rPr>
        <w:sectPr w:rsidR="005E6094">
          <w:type w:val="continuous"/>
          <w:pgSz w:w="11910" w:h="16840"/>
          <w:pgMar w:top="1840" w:right="560" w:bottom="780" w:left="620" w:header="720" w:footer="720" w:gutter="0"/>
          <w:cols w:num="2" w:space="720" w:equalWidth="0">
            <w:col w:w="5255" w:space="97"/>
            <w:col w:w="5378"/>
          </w:cols>
        </w:sectPr>
      </w:pPr>
      <w:r w:rsidRPr="004A225D">
        <w:rPr>
          <w:color w:val="231F20"/>
          <w:spacing w:val="-1"/>
          <w:sz w:val="24"/>
        </w:rPr>
        <w:fldChar w:fldCharType="end"/>
      </w:r>
    </w:p>
    <w:p w14:paraId="6F7053BB" w14:textId="77777777" w:rsidR="005E6094" w:rsidRDefault="005E6094">
      <w:pPr>
        <w:pStyle w:val="BodyText"/>
        <w:spacing w:before="0"/>
        <w:ind w:left="0"/>
        <w:jc w:val="left"/>
        <w:rPr>
          <w:sz w:val="20"/>
        </w:rPr>
      </w:pPr>
    </w:p>
    <w:p w14:paraId="434918C1" w14:textId="77777777" w:rsidR="005E6094" w:rsidRDefault="005E6094">
      <w:pPr>
        <w:pStyle w:val="BodyText"/>
        <w:spacing w:before="0"/>
        <w:ind w:left="0"/>
        <w:jc w:val="left"/>
        <w:rPr>
          <w:sz w:val="20"/>
        </w:rPr>
      </w:pPr>
    </w:p>
    <w:p w14:paraId="66478CA3" w14:textId="77777777" w:rsidR="005E6094" w:rsidRDefault="005E6094">
      <w:pPr>
        <w:pStyle w:val="BodyText"/>
        <w:spacing w:before="2"/>
        <w:ind w:left="0"/>
        <w:jc w:val="left"/>
        <w:rPr>
          <w:sz w:val="25"/>
        </w:rPr>
      </w:pPr>
    </w:p>
    <w:p w14:paraId="61EB31F6" w14:textId="77777777" w:rsidR="005E6094" w:rsidRDefault="00000000">
      <w:pPr>
        <w:spacing w:before="92"/>
        <w:ind w:left="415"/>
        <w:rPr>
          <w:rFonts w:ascii="Palatino Linotype"/>
          <w:i/>
          <w:sz w:val="18"/>
        </w:rPr>
      </w:pPr>
      <w:r>
        <w:rPr>
          <w:rFonts w:ascii="Cambria"/>
          <w:b/>
          <w:i/>
          <w:color w:val="231F20"/>
          <w:w w:val="95"/>
          <w:sz w:val="18"/>
        </w:rPr>
        <w:t>NOTE:</w:t>
      </w:r>
      <w:r>
        <w:rPr>
          <w:rFonts w:ascii="Cambria"/>
          <w:b/>
          <w:i/>
          <w:color w:val="231F20"/>
          <w:spacing w:val="6"/>
          <w:w w:val="95"/>
          <w:sz w:val="18"/>
        </w:rPr>
        <w:t xml:space="preserve"> </w:t>
      </w:r>
      <w:r>
        <w:rPr>
          <w:rFonts w:ascii="Palatino Linotype"/>
          <w:i/>
          <w:color w:val="231F20"/>
          <w:w w:val="95"/>
          <w:sz w:val="18"/>
        </w:rPr>
        <w:t>This</w:t>
      </w:r>
      <w:r>
        <w:rPr>
          <w:rFonts w:ascii="Palatino Linotype"/>
          <w:i/>
          <w:color w:val="231F20"/>
          <w:spacing w:val="2"/>
          <w:w w:val="95"/>
          <w:sz w:val="18"/>
        </w:rPr>
        <w:t xml:space="preserve"> </w:t>
      </w:r>
      <w:r>
        <w:rPr>
          <w:rFonts w:ascii="Palatino Linotype"/>
          <w:i/>
          <w:color w:val="231F20"/>
          <w:w w:val="95"/>
          <w:sz w:val="18"/>
        </w:rPr>
        <w:t>is</w:t>
      </w:r>
      <w:r>
        <w:rPr>
          <w:rFonts w:ascii="Palatino Linotype"/>
          <w:i/>
          <w:color w:val="231F20"/>
          <w:spacing w:val="2"/>
          <w:w w:val="95"/>
          <w:sz w:val="18"/>
        </w:rPr>
        <w:t xml:space="preserve"> </w:t>
      </w:r>
      <w:r>
        <w:rPr>
          <w:rFonts w:ascii="Palatino Linotype"/>
          <w:i/>
          <w:color w:val="231F20"/>
          <w:w w:val="95"/>
          <w:sz w:val="18"/>
        </w:rPr>
        <w:t>a</w:t>
      </w:r>
      <w:r>
        <w:rPr>
          <w:rFonts w:ascii="Palatino Linotype"/>
          <w:i/>
          <w:color w:val="231F20"/>
          <w:spacing w:val="2"/>
          <w:w w:val="95"/>
          <w:sz w:val="18"/>
        </w:rPr>
        <w:t xml:space="preserve"> </w:t>
      </w:r>
      <w:r>
        <w:rPr>
          <w:rFonts w:ascii="Palatino Linotype"/>
          <w:i/>
          <w:color w:val="231F20"/>
          <w:w w:val="95"/>
          <w:sz w:val="18"/>
        </w:rPr>
        <w:t>sample</w:t>
      </w:r>
      <w:r>
        <w:rPr>
          <w:rFonts w:ascii="Palatino Linotype"/>
          <w:i/>
          <w:color w:val="231F20"/>
          <w:spacing w:val="1"/>
          <w:w w:val="95"/>
          <w:sz w:val="18"/>
        </w:rPr>
        <w:t xml:space="preserve"> </w:t>
      </w:r>
      <w:r>
        <w:rPr>
          <w:rFonts w:ascii="Palatino Linotype"/>
          <w:i/>
          <w:color w:val="231F20"/>
          <w:w w:val="95"/>
          <w:sz w:val="18"/>
        </w:rPr>
        <w:t>abstracts.</w:t>
      </w:r>
      <w:r>
        <w:rPr>
          <w:rFonts w:ascii="Palatino Linotype"/>
          <w:i/>
          <w:color w:val="231F20"/>
          <w:spacing w:val="2"/>
          <w:w w:val="95"/>
          <w:sz w:val="18"/>
        </w:rPr>
        <w:t xml:space="preserve"> </w:t>
      </w:r>
      <w:r>
        <w:rPr>
          <w:rFonts w:ascii="Palatino Linotype"/>
          <w:i/>
          <w:color w:val="231F20"/>
          <w:w w:val="95"/>
          <w:sz w:val="18"/>
        </w:rPr>
        <w:t>Conference/Journal</w:t>
      </w:r>
      <w:r>
        <w:rPr>
          <w:rFonts w:ascii="Palatino Linotype"/>
          <w:i/>
          <w:color w:val="231F20"/>
          <w:spacing w:val="2"/>
          <w:w w:val="95"/>
          <w:sz w:val="18"/>
        </w:rPr>
        <w:t xml:space="preserve"> </w:t>
      </w:r>
      <w:r>
        <w:rPr>
          <w:rFonts w:ascii="Palatino Linotype"/>
          <w:i/>
          <w:color w:val="231F20"/>
          <w:w w:val="95"/>
          <w:sz w:val="18"/>
        </w:rPr>
        <w:t>name</w:t>
      </w:r>
      <w:r>
        <w:rPr>
          <w:rFonts w:ascii="Palatino Linotype"/>
          <w:i/>
          <w:color w:val="231F20"/>
          <w:spacing w:val="2"/>
          <w:w w:val="95"/>
          <w:sz w:val="18"/>
        </w:rPr>
        <w:t xml:space="preserve"> </w:t>
      </w:r>
      <w:r>
        <w:rPr>
          <w:rFonts w:ascii="Palatino Linotype"/>
          <w:i/>
          <w:color w:val="231F20"/>
          <w:w w:val="95"/>
          <w:sz w:val="18"/>
        </w:rPr>
        <w:t>will</w:t>
      </w:r>
      <w:r>
        <w:rPr>
          <w:rFonts w:ascii="Palatino Linotype"/>
          <w:i/>
          <w:color w:val="231F20"/>
          <w:spacing w:val="2"/>
          <w:w w:val="95"/>
          <w:sz w:val="18"/>
        </w:rPr>
        <w:t xml:space="preserve"> </w:t>
      </w:r>
      <w:r>
        <w:rPr>
          <w:rFonts w:ascii="Palatino Linotype"/>
          <w:i/>
          <w:color w:val="231F20"/>
          <w:w w:val="95"/>
          <w:sz w:val="18"/>
        </w:rPr>
        <w:t>be</w:t>
      </w:r>
      <w:r>
        <w:rPr>
          <w:rFonts w:ascii="Palatino Linotype"/>
          <w:i/>
          <w:color w:val="231F20"/>
          <w:spacing w:val="1"/>
          <w:w w:val="95"/>
          <w:sz w:val="18"/>
        </w:rPr>
        <w:t xml:space="preserve"> </w:t>
      </w:r>
      <w:r>
        <w:rPr>
          <w:rFonts w:ascii="Palatino Linotype"/>
          <w:i/>
          <w:color w:val="231F20"/>
          <w:w w:val="95"/>
          <w:sz w:val="18"/>
        </w:rPr>
        <w:t>changed</w:t>
      </w:r>
      <w:r>
        <w:rPr>
          <w:rFonts w:ascii="Palatino Linotype"/>
          <w:i/>
          <w:color w:val="231F20"/>
          <w:spacing w:val="2"/>
          <w:w w:val="95"/>
          <w:sz w:val="18"/>
        </w:rPr>
        <w:t xml:space="preserve"> </w:t>
      </w:r>
      <w:r>
        <w:rPr>
          <w:rFonts w:ascii="Palatino Linotype"/>
          <w:i/>
          <w:color w:val="231F20"/>
          <w:w w:val="95"/>
          <w:sz w:val="18"/>
        </w:rPr>
        <w:t>while</w:t>
      </w:r>
      <w:r>
        <w:rPr>
          <w:rFonts w:ascii="Palatino Linotype"/>
          <w:i/>
          <w:color w:val="231F20"/>
          <w:spacing w:val="2"/>
          <w:w w:val="95"/>
          <w:sz w:val="18"/>
        </w:rPr>
        <w:t xml:space="preserve"> </w:t>
      </w:r>
      <w:r>
        <w:rPr>
          <w:rFonts w:ascii="Palatino Linotype"/>
          <w:i/>
          <w:color w:val="231F20"/>
          <w:w w:val="95"/>
          <w:sz w:val="18"/>
        </w:rPr>
        <w:t>publishing</w:t>
      </w:r>
      <w:r>
        <w:rPr>
          <w:rFonts w:ascii="Palatino Linotype"/>
          <w:i/>
          <w:color w:val="231F20"/>
          <w:spacing w:val="2"/>
          <w:w w:val="95"/>
          <w:sz w:val="18"/>
        </w:rPr>
        <w:t xml:space="preserve"> </w:t>
      </w:r>
      <w:r>
        <w:rPr>
          <w:rFonts w:ascii="Palatino Linotype"/>
          <w:i/>
          <w:color w:val="231F20"/>
          <w:w w:val="95"/>
          <w:sz w:val="18"/>
        </w:rPr>
        <w:t>respective</w:t>
      </w:r>
      <w:r>
        <w:rPr>
          <w:rFonts w:ascii="Palatino Linotype"/>
          <w:i/>
          <w:color w:val="231F20"/>
          <w:spacing w:val="2"/>
          <w:w w:val="95"/>
          <w:sz w:val="18"/>
        </w:rPr>
        <w:t xml:space="preserve"> </w:t>
      </w:r>
      <w:r>
        <w:rPr>
          <w:rFonts w:ascii="Palatino Linotype"/>
          <w:i/>
          <w:color w:val="231F20"/>
          <w:w w:val="95"/>
          <w:sz w:val="18"/>
        </w:rPr>
        <w:t>abstract</w:t>
      </w:r>
      <w:r>
        <w:rPr>
          <w:rFonts w:ascii="Palatino Linotype"/>
          <w:i/>
          <w:color w:val="231F20"/>
          <w:spacing w:val="2"/>
          <w:w w:val="95"/>
          <w:sz w:val="18"/>
        </w:rPr>
        <w:t xml:space="preserve"> </w:t>
      </w:r>
      <w:r>
        <w:rPr>
          <w:rFonts w:ascii="Palatino Linotype"/>
          <w:i/>
          <w:color w:val="231F20"/>
          <w:w w:val="95"/>
          <w:sz w:val="18"/>
        </w:rPr>
        <w:t>in</w:t>
      </w:r>
      <w:r>
        <w:rPr>
          <w:rFonts w:ascii="Palatino Linotype"/>
          <w:i/>
          <w:color w:val="231F20"/>
          <w:spacing w:val="1"/>
          <w:w w:val="95"/>
          <w:sz w:val="18"/>
        </w:rPr>
        <w:t xml:space="preserve"> </w:t>
      </w:r>
      <w:r>
        <w:rPr>
          <w:rFonts w:ascii="Palatino Linotype"/>
          <w:i/>
          <w:color w:val="231F20"/>
          <w:w w:val="95"/>
          <w:sz w:val="18"/>
        </w:rPr>
        <w:t>supporting</w:t>
      </w:r>
      <w:r>
        <w:rPr>
          <w:rFonts w:ascii="Palatino Linotype"/>
          <w:i/>
          <w:color w:val="231F20"/>
          <w:spacing w:val="2"/>
          <w:w w:val="95"/>
          <w:sz w:val="18"/>
        </w:rPr>
        <w:t xml:space="preserve"> </w:t>
      </w:r>
      <w:r>
        <w:rPr>
          <w:rFonts w:ascii="Palatino Linotype"/>
          <w:i/>
          <w:color w:val="231F20"/>
          <w:w w:val="95"/>
          <w:sz w:val="18"/>
        </w:rPr>
        <w:t>journal</w:t>
      </w:r>
      <w:r>
        <w:rPr>
          <w:rFonts w:ascii="Palatino Linotype"/>
          <w:i/>
          <w:color w:val="231F20"/>
          <w:spacing w:val="2"/>
          <w:w w:val="95"/>
          <w:sz w:val="18"/>
        </w:rPr>
        <w:t xml:space="preserve"> </w:t>
      </w:r>
      <w:r>
        <w:rPr>
          <w:rFonts w:ascii="Palatino Linotype"/>
          <w:i/>
          <w:color w:val="231F20"/>
          <w:w w:val="95"/>
          <w:sz w:val="18"/>
        </w:rPr>
        <w:t>website.</w:t>
      </w:r>
    </w:p>
    <w:sectPr w:rsidR="005E6094">
      <w:type w:val="continuous"/>
      <w:pgSz w:w="11910" w:h="16840"/>
      <w:pgMar w:top="1840" w:right="560" w:bottom="7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E6C45" w14:textId="77777777" w:rsidR="0053383A" w:rsidRDefault="0053383A">
      <w:r>
        <w:separator/>
      </w:r>
    </w:p>
  </w:endnote>
  <w:endnote w:type="continuationSeparator" w:id="0">
    <w:p w14:paraId="040941DD" w14:textId="77777777" w:rsidR="0053383A" w:rsidRDefault="0053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3A16A" w14:textId="77777777" w:rsidR="005E6094" w:rsidRDefault="00000000">
    <w:pPr>
      <w:pStyle w:val="BodyText"/>
      <w:spacing w:before="0" w:line="14" w:lineRule="auto"/>
      <w:ind w:left="0"/>
      <w:jc w:val="left"/>
      <w:rPr>
        <w:sz w:val="20"/>
      </w:rPr>
    </w:pPr>
    <w:r>
      <w:pict w14:anchorId="55F9578B">
        <v:group id="_x0000_s1027" style="position:absolute;margin-left:0;margin-top:798.45pt;width:595.3pt;height:43.5pt;z-index:-15799808;mso-position-horizontal-relative:page;mso-position-vertical-relative:page" coordorigin=",15969" coordsize="11906,870">
          <v:rect id="_x0000_s1029" style="position:absolute;top:16281;width:11906;height:557" fillcolor="#4c4d4f" stroked="f"/>
          <v:shape id="_x0000_s1028" style="position:absolute;left:6220;top:15968;width:5686;height:870" coordorigin="6220,15969" coordsize="5686,870" path="m11906,15969r-5280,l6553,15975r-69,19l6421,16024r-56,40l6316,16113r-40,57l6246,16233r-19,68l6220,16374r,464l11906,16838r,-869xe" fillcolor="#f78f2c" stroked="f">
            <v:path arrowok="t"/>
          </v:shape>
          <w10:wrap anchorx="page" anchory="page"/>
        </v:group>
      </w:pict>
    </w:r>
    <w:r>
      <w:pict w14:anchorId="59A05A7E">
        <v:shapetype id="_x0000_t202" coordsize="21600,21600" o:spt="202" path="m,l,21600r21600,l21600,xe">
          <v:stroke joinstyle="miter"/>
          <v:path gradientshapeok="t" o:connecttype="rect"/>
        </v:shapetype>
        <v:shape id="_x0000_s1026" type="#_x0000_t202" style="position:absolute;margin-left:384.85pt;margin-top:812.55pt;width:176.05pt;height:17.85pt;z-index:-15799296;mso-position-horizontal-relative:page;mso-position-vertical-relative:page" filled="f" stroked="f">
          <v:textbox style="mso-next-textbox:#_x0000_s1026" inset="0,0,0,0">
            <w:txbxContent>
              <w:p w14:paraId="4816170E" w14:textId="77777777" w:rsidR="005E6094" w:rsidRDefault="00000000">
                <w:pPr>
                  <w:spacing w:before="9"/>
                  <w:ind w:left="20"/>
                  <w:rPr>
                    <w:b/>
                    <w:sz w:val="28"/>
                  </w:rPr>
                </w:pPr>
                <w:r>
                  <w:rPr>
                    <w:b/>
                    <w:color w:val="231F20"/>
                    <w:spacing w:val="-1"/>
                    <w:w w:val="105"/>
                    <w:sz w:val="28"/>
                  </w:rPr>
                  <w:t>Volume</w:t>
                </w:r>
                <w:r>
                  <w:rPr>
                    <w:b/>
                    <w:color w:val="231F20"/>
                    <w:spacing w:val="-18"/>
                    <w:w w:val="105"/>
                    <w:sz w:val="28"/>
                  </w:rPr>
                  <w:t xml:space="preserve"> </w:t>
                </w:r>
                <w:r>
                  <w:rPr>
                    <w:b/>
                    <w:color w:val="231F20"/>
                    <w:spacing w:val="-1"/>
                    <w:w w:val="105"/>
                    <w:sz w:val="28"/>
                  </w:rPr>
                  <w:t>10</w:t>
                </w:r>
                <w:r>
                  <w:rPr>
                    <w:b/>
                    <w:color w:val="231F20"/>
                    <w:spacing w:val="-16"/>
                    <w:w w:val="105"/>
                    <w:sz w:val="28"/>
                  </w:rPr>
                  <w:t xml:space="preserve"> </w:t>
                </w:r>
                <w:r>
                  <w:rPr>
                    <w:b/>
                    <w:color w:val="231F20"/>
                    <w:spacing w:val="-1"/>
                    <w:w w:val="105"/>
                    <w:sz w:val="28"/>
                  </w:rPr>
                  <w:t>•</w:t>
                </w:r>
                <w:r>
                  <w:rPr>
                    <w:b/>
                    <w:color w:val="231F20"/>
                    <w:spacing w:val="-17"/>
                    <w:w w:val="105"/>
                    <w:sz w:val="28"/>
                  </w:rPr>
                  <w:t xml:space="preserve"> </w:t>
                </w:r>
                <w:r>
                  <w:rPr>
                    <w:b/>
                    <w:color w:val="231F20"/>
                    <w:w w:val="105"/>
                    <w:sz w:val="28"/>
                  </w:rPr>
                  <w:t>Issue</w:t>
                </w:r>
                <w:r>
                  <w:rPr>
                    <w:b/>
                    <w:color w:val="231F20"/>
                    <w:spacing w:val="-16"/>
                    <w:w w:val="105"/>
                    <w:sz w:val="28"/>
                  </w:rPr>
                  <w:t xml:space="preserve"> </w:t>
                </w:r>
                <w:r>
                  <w:rPr>
                    <w:b/>
                    <w:color w:val="231F20"/>
                    <w:w w:val="105"/>
                    <w:sz w:val="28"/>
                  </w:rPr>
                  <w:t>4</w:t>
                </w:r>
                <w:r>
                  <w:rPr>
                    <w:b/>
                    <w:color w:val="231F20"/>
                    <w:spacing w:val="-16"/>
                    <w:w w:val="105"/>
                    <w:sz w:val="28"/>
                  </w:rPr>
                  <w:t xml:space="preserve"> </w:t>
                </w:r>
                <w:r>
                  <w:rPr>
                    <w:b/>
                    <w:color w:val="231F20"/>
                    <w:w w:val="105"/>
                    <w:sz w:val="28"/>
                  </w:rPr>
                  <w:t>•</w:t>
                </w:r>
                <w:r>
                  <w:rPr>
                    <w:b/>
                    <w:color w:val="231F20"/>
                    <w:spacing w:val="-17"/>
                    <w:w w:val="105"/>
                    <w:sz w:val="28"/>
                  </w:rPr>
                  <w:t xml:space="preserve"> </w:t>
                </w:r>
                <w:r>
                  <w:rPr>
                    <w:b/>
                    <w:color w:val="231F20"/>
                    <w:w w:val="105"/>
                    <w:sz w:val="28"/>
                  </w:rPr>
                  <w:t>100438</w:t>
                </w:r>
              </w:p>
            </w:txbxContent>
          </v:textbox>
          <w10:wrap anchorx="page" anchory="page"/>
        </v:shape>
      </w:pict>
    </w:r>
    <w:r>
      <w:pict w14:anchorId="77BC7C4C">
        <v:shape id="_x0000_s1025" type="#_x0000_t202" style="position:absolute;margin-left:31.1pt;margin-top:820.25pt;width:238.15pt;height:14.5pt;z-index:-15798784;mso-position-horizontal-relative:page;mso-position-vertical-relative:page" filled="f" stroked="f">
          <v:textbox style="mso-next-textbox:#_x0000_s1025" inset="0,0,0,0">
            <w:txbxContent>
              <w:p w14:paraId="37C95B30" w14:textId="77777777" w:rsidR="005E6094" w:rsidRDefault="00000000">
                <w:pPr>
                  <w:spacing w:before="36"/>
                  <w:ind w:left="20"/>
                  <w:rPr>
                    <w:b/>
                    <w:sz w:val="18"/>
                  </w:rPr>
                </w:pPr>
                <w:r>
                  <w:rPr>
                    <w:b/>
                    <w:color w:val="FFFFFF"/>
                    <w:spacing w:val="-1"/>
                    <w:sz w:val="18"/>
                  </w:rPr>
                  <w:t>htt</w:t>
                </w:r>
                <w:hyperlink r:id="rId1">
                  <w:r>
                    <w:rPr>
                      <w:b/>
                      <w:color w:val="FFFFFF"/>
                      <w:spacing w:val="-1"/>
                      <w:sz w:val="18"/>
                    </w:rPr>
                    <w:t>ps://w</w:t>
                  </w:r>
                </w:hyperlink>
                <w:r>
                  <w:rPr>
                    <w:b/>
                    <w:color w:val="FFFFFF"/>
                    <w:spacing w:val="-1"/>
                    <w:sz w:val="18"/>
                  </w:rPr>
                  <w:t>ww.me</w:t>
                </w:r>
                <w:hyperlink r:id="rId2">
                  <w:r>
                    <w:rPr>
                      <w:b/>
                      <w:color w:val="FFFFFF"/>
                      <w:spacing w:val="-1"/>
                      <w:sz w:val="18"/>
                    </w:rPr>
                    <w:t>etingsint.com/conferences/emergencymedicine</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041C7" w14:textId="77777777" w:rsidR="0053383A" w:rsidRDefault="0053383A">
      <w:r>
        <w:separator/>
      </w:r>
    </w:p>
  </w:footnote>
  <w:footnote w:type="continuationSeparator" w:id="0">
    <w:p w14:paraId="699F6184" w14:textId="77777777" w:rsidR="0053383A" w:rsidRDefault="00533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B16F" w14:textId="77777777" w:rsidR="005E6094" w:rsidRDefault="00000000">
    <w:pPr>
      <w:pStyle w:val="BodyText"/>
      <w:spacing w:before="0" w:line="14" w:lineRule="auto"/>
      <w:ind w:left="0"/>
      <w:jc w:val="left"/>
      <w:rPr>
        <w:sz w:val="20"/>
      </w:rPr>
    </w:pPr>
    <w:r>
      <w:pict w14:anchorId="2D99CD77">
        <v:group id="_x0000_s1032" style="position:absolute;margin-left:0;margin-top:14.95pt;width:595.3pt;height:78pt;z-index:-15801344;mso-position-horizontal-relative:page;mso-position-vertical-relative:page" coordorigin=",299" coordsize="11906,1560">
          <v:shape id="_x0000_s1042" style="position:absolute;left:1907;top:299;width:8786;height:829" coordorigin="1907,299" coordsize="8786,829" o:spt="100" adj="0,,0" path="m3109,1127l3015,299,1907,1077r1202,50xm10693,1077l9585,299r-93,828l10693,1077xe" fillcolor="#7d8274" stroked="f">
            <v:stroke joinstyle="round"/>
            <v:formulas/>
            <v:path arrowok="t" o:connecttype="segments"/>
          </v:shape>
          <v:rect id="_x0000_s1041" style="position:absolute;left:5806;top:782;width:6099;height:811" fillcolor="#4c4d4f" stroked="f"/>
          <v:shape id="_x0000_s1040" style="position:absolute;left:7890;top:843;width:1160;height:690" coordorigin="7890,844" coordsize="1160,690" path="m8994,844r-1048,l7924,848r-17,12l7895,878r-5,21l7890,1477r5,22l7907,1516r17,12l7946,1533r1048,l9016,1528r18,-12l9046,1499r4,-22l9050,899r-4,-21l9034,860r-18,-12l8994,84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7890;top:979;width:1160;height:418">
            <v:imagedata r:id="rId1" o:title=""/>
          </v:shape>
          <v:shape id="_x0000_s1038" style="position:absolute;left:7890;top:843;width:1160;height:690" coordorigin="7890,844" coordsize="1160,690" path="m9050,899r-4,-21l9034,860r-18,-12l8994,844r-1048,l7924,848r-17,12l7895,878r-5,21l7890,1477r5,22l7907,1516r17,12l7946,1533r1048,l9016,1528r18,-12l9046,1499r4,-22l9050,899xe" filled="f" strokecolor="#231f20" strokeweight=".14639mm">
            <v:path arrowok="t"/>
          </v:shape>
          <v:shape id="_x0000_s1037" type="#_x0000_t75" style="position:absolute;left:3289;top:1034;width:1045;height:361">
            <v:imagedata r:id="rId2" o:title=""/>
          </v:shape>
          <v:shape id="_x0000_s1036" style="position:absolute;left:3270;top:890;width:1069;height:635" coordorigin="3271,891" coordsize="1069,635" path="m4339,942r-4,-20l4324,906r-16,-11l4288,891r-966,l3302,895r-16,11l3275,922r-4,20l3271,1474r4,20l3286,1511r16,11l3322,1526r966,l4308,1522r16,-11l4335,1494r4,-20l4339,942xe" filled="f" strokecolor="#231f20" strokeweight=".1351mm">
            <v:path arrowok="t"/>
          </v:shape>
          <v:shape id="_x0000_s1035" style="position:absolute;top:625;width:7204;height:1110" coordorigin=",625" coordsize="7204,1110" path="m7204,625l,625,,1734r6489,l6564,1728r71,-17l6703,1682r63,-39l6823,1595r51,-57l6918,1473r35,-72l6979,1322,7204,625xe" fillcolor="#f78f2c" stroked="f">
            <v:path arrowok="t"/>
          </v:shape>
          <v:shape id="_x0000_s1034" style="position:absolute;top:299;width:11906;height:1560" coordorigin=",299" coordsize="11906,1560" o:spt="100" adj="0,,0" path="m3015,299l,299,,1859r1716,l1795,1855r77,-10l1948,1828r73,-23l2092,1775r68,-35l2225,1699r60,-46l2342,1601r53,-57l2442,1483r43,-66l2521,1347,3015,299xm11906,299r-2321,l10079,1347r37,70l10158,1483r48,61l10258,1601r57,52l10376,1699r64,41l10508,1775r71,30l10653,1828r75,17l10806,1855r79,4l11906,1859r,-1560xe" fillcolor="#010101" stroked="f">
            <v:stroke joinstyle="round"/>
            <v:formulas/>
            <v:path arrowok="t" o:connecttype="segments"/>
          </v:shape>
          <v:shape id="_x0000_s1033" type="#_x0000_t75" style="position:absolute;left:155;top:631;width:2275;height:759">
            <v:imagedata r:id="rId3" o:title=""/>
          </v:shape>
          <w10:wrap anchorx="page" anchory="page"/>
        </v:group>
      </w:pict>
    </w:r>
    <w:r>
      <w:pict w14:anchorId="006C1484">
        <v:shapetype id="_x0000_t202" coordsize="21600,21600" o:spt="202" path="m,l,21600r21600,l21600,xe">
          <v:stroke joinstyle="miter"/>
          <v:path gradientshapeok="t" o:connecttype="rect"/>
        </v:shapetype>
        <v:shape id="_x0000_s1031" type="#_x0000_t202" style="position:absolute;margin-left:173.2pt;margin-top:35.4pt;width:125.65pt;height:43.75pt;z-index:-15800832;mso-position-horizontal-relative:page;mso-position-vertical-relative:page" filled="f" stroked="f">
          <v:textbox style="mso-next-textbox:#_x0000_s1031" inset="0,0,0,0">
            <w:txbxContent>
              <w:p w14:paraId="73E69CD8" w14:textId="77777777" w:rsidR="005E6094" w:rsidRDefault="00000000">
                <w:pPr>
                  <w:spacing w:before="11" w:line="252" w:lineRule="auto"/>
                  <w:ind w:left="20" w:right="18" w:hanging="2"/>
                  <w:jc w:val="center"/>
                  <w:rPr>
                    <w:b/>
                    <w:sz w:val="25"/>
                  </w:rPr>
                </w:pPr>
                <w:r>
                  <w:rPr>
                    <w:b/>
                    <w:color w:val="231F20"/>
                    <w:w w:val="95"/>
                    <w:sz w:val="25"/>
                  </w:rPr>
                  <w:t>International Journal of</w:t>
                </w:r>
                <w:r>
                  <w:rPr>
                    <w:b/>
                    <w:color w:val="231F20"/>
                    <w:spacing w:val="-57"/>
                    <w:w w:val="95"/>
                    <w:sz w:val="25"/>
                  </w:rPr>
                  <w:t xml:space="preserve"> </w:t>
                </w:r>
                <w:r>
                  <w:rPr>
                    <w:b/>
                    <w:color w:val="231F20"/>
                    <w:w w:val="90"/>
                    <w:sz w:val="25"/>
                  </w:rPr>
                  <w:t>Cardiovascular</w:t>
                </w:r>
                <w:r>
                  <w:rPr>
                    <w:b/>
                    <w:color w:val="231F20"/>
                    <w:spacing w:val="23"/>
                    <w:w w:val="90"/>
                    <w:sz w:val="25"/>
                  </w:rPr>
                  <w:t xml:space="preserve"> </w:t>
                </w:r>
                <w:r>
                  <w:rPr>
                    <w:b/>
                    <w:color w:val="231F20"/>
                    <w:w w:val="90"/>
                    <w:sz w:val="25"/>
                  </w:rPr>
                  <w:t>Research</w:t>
                </w:r>
              </w:p>
              <w:p w14:paraId="711BF95C" w14:textId="77777777" w:rsidR="005E6094" w:rsidRDefault="00000000">
                <w:pPr>
                  <w:spacing w:before="51"/>
                  <w:ind w:left="667" w:right="666"/>
                  <w:jc w:val="center"/>
                  <w:rPr>
                    <w:b/>
                    <w:sz w:val="16"/>
                  </w:rPr>
                </w:pPr>
                <w:r>
                  <w:rPr>
                    <w:b/>
                    <w:color w:val="231F20"/>
                    <w:sz w:val="16"/>
                  </w:rPr>
                  <w:t>ISSN:</w:t>
                </w:r>
                <w:r>
                  <w:rPr>
                    <w:b/>
                    <w:color w:val="231F20"/>
                    <w:spacing w:val="-3"/>
                    <w:sz w:val="16"/>
                  </w:rPr>
                  <w:t xml:space="preserve"> </w:t>
                </w:r>
                <w:r>
                  <w:rPr>
                    <w:b/>
                    <w:color w:val="231F20"/>
                    <w:sz w:val="16"/>
                  </w:rPr>
                  <w:t>2324-8602</w:t>
                </w:r>
              </w:p>
            </w:txbxContent>
          </v:textbox>
          <w10:wrap anchorx="page" anchory="page"/>
        </v:shape>
      </w:pict>
    </w:r>
    <w:r>
      <w:pict w14:anchorId="4D5BCDF7">
        <v:shape id="_x0000_s1030" type="#_x0000_t202" style="position:absolute;margin-left:518.85pt;margin-top:36.1pt;width:54.6pt;height:33.6pt;z-index:-15800320;mso-position-horizontal-relative:page;mso-position-vertical-relative:page" filled="f" stroked="f">
          <v:textbox style="mso-next-textbox:#_x0000_s1030" inset="0,0,0,0">
            <w:txbxContent>
              <w:p w14:paraId="29845D41" w14:textId="77777777" w:rsidR="005E6094" w:rsidRDefault="00000000">
                <w:pPr>
                  <w:spacing w:before="10"/>
                  <w:jc w:val="center"/>
                  <w:rPr>
                    <w:b/>
                    <w:sz w:val="24"/>
                  </w:rPr>
                </w:pPr>
                <w:r>
                  <w:rPr>
                    <w:b/>
                    <w:color w:val="FFFFFF"/>
                    <w:spacing w:val="-5"/>
                    <w:sz w:val="24"/>
                  </w:rPr>
                  <w:t>Volume</w:t>
                </w:r>
                <w:r>
                  <w:rPr>
                    <w:b/>
                    <w:color w:val="FFFFFF"/>
                    <w:spacing w:val="-10"/>
                    <w:sz w:val="24"/>
                  </w:rPr>
                  <w:t xml:space="preserve"> </w:t>
                </w:r>
                <w:r>
                  <w:rPr>
                    <w:b/>
                    <w:color w:val="FFFFFF"/>
                    <w:spacing w:val="-4"/>
                    <w:sz w:val="24"/>
                  </w:rPr>
                  <w:t>10</w:t>
                </w:r>
              </w:p>
              <w:p w14:paraId="55FA51FD" w14:textId="77777777" w:rsidR="005E6094" w:rsidRDefault="00000000">
                <w:pPr>
                  <w:spacing w:before="84"/>
                  <w:ind w:left="1"/>
                  <w:jc w:val="center"/>
                  <w:rPr>
                    <w:b/>
                    <w:sz w:val="24"/>
                  </w:rPr>
                </w:pPr>
                <w:r>
                  <w:rPr>
                    <w:b/>
                    <w:color w:val="FFFFFF"/>
                    <w:w w:val="95"/>
                    <w:sz w:val="24"/>
                  </w:rPr>
                  <w:t>Issue</w:t>
                </w:r>
                <w:r>
                  <w:rPr>
                    <w:b/>
                    <w:color w:val="FFFFFF"/>
                    <w:spacing w:val="-1"/>
                    <w:w w:val="95"/>
                    <w:sz w:val="24"/>
                  </w:rPr>
                  <w:t xml:space="preserve"> </w:t>
                </w:r>
                <w:r>
                  <w:rPr>
                    <w:b/>
                    <w:color w:val="FFFFFF"/>
                    <w:w w:val="95"/>
                    <w:sz w:val="24"/>
                  </w:rPr>
                  <w:t>4</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30FF8"/>
    <w:multiLevelType w:val="hybridMultilevel"/>
    <w:tmpl w:val="3044073A"/>
    <w:lvl w:ilvl="0" w:tplc="6002C5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B775E9"/>
    <w:multiLevelType w:val="hybridMultilevel"/>
    <w:tmpl w:val="5E1A816A"/>
    <w:lvl w:ilvl="0" w:tplc="62723DF4">
      <w:start w:val="1"/>
      <w:numFmt w:val="decimal"/>
      <w:lvlText w:val="%1."/>
      <w:lvlJc w:val="left"/>
      <w:pPr>
        <w:ind w:left="460" w:hanging="360"/>
      </w:pPr>
      <w:rPr>
        <w:rFonts w:ascii="Times New Roman" w:eastAsia="Times New Roman" w:hAnsi="Times New Roman" w:cs="Times New Roman" w:hint="default"/>
        <w:color w:val="231F20"/>
        <w:spacing w:val="-9"/>
        <w:w w:val="99"/>
        <w:sz w:val="24"/>
        <w:szCs w:val="24"/>
        <w:lang w:val="en-US" w:eastAsia="en-US" w:bidi="ar-SA"/>
      </w:rPr>
    </w:lvl>
    <w:lvl w:ilvl="1" w:tplc="0F0460A6">
      <w:numFmt w:val="bullet"/>
      <w:lvlText w:val="•"/>
      <w:lvlJc w:val="left"/>
      <w:pPr>
        <w:ind w:left="939" w:hanging="360"/>
      </w:pPr>
      <w:rPr>
        <w:rFonts w:hint="default"/>
        <w:lang w:val="en-US" w:eastAsia="en-US" w:bidi="ar-SA"/>
      </w:rPr>
    </w:lvl>
    <w:lvl w:ilvl="2" w:tplc="4EC07F3A">
      <w:numFmt w:val="bullet"/>
      <w:lvlText w:val="•"/>
      <w:lvlJc w:val="left"/>
      <w:pPr>
        <w:ind w:left="1418" w:hanging="360"/>
      </w:pPr>
      <w:rPr>
        <w:rFonts w:hint="default"/>
        <w:lang w:val="en-US" w:eastAsia="en-US" w:bidi="ar-SA"/>
      </w:rPr>
    </w:lvl>
    <w:lvl w:ilvl="3" w:tplc="63508C1C">
      <w:numFmt w:val="bullet"/>
      <w:lvlText w:val="•"/>
      <w:lvlJc w:val="left"/>
      <w:pPr>
        <w:ind w:left="1898" w:hanging="360"/>
      </w:pPr>
      <w:rPr>
        <w:rFonts w:hint="default"/>
        <w:lang w:val="en-US" w:eastAsia="en-US" w:bidi="ar-SA"/>
      </w:rPr>
    </w:lvl>
    <w:lvl w:ilvl="4" w:tplc="7848C952">
      <w:numFmt w:val="bullet"/>
      <w:lvlText w:val="•"/>
      <w:lvlJc w:val="left"/>
      <w:pPr>
        <w:ind w:left="2377" w:hanging="360"/>
      </w:pPr>
      <w:rPr>
        <w:rFonts w:hint="default"/>
        <w:lang w:val="en-US" w:eastAsia="en-US" w:bidi="ar-SA"/>
      </w:rPr>
    </w:lvl>
    <w:lvl w:ilvl="5" w:tplc="DFAA04F6">
      <w:numFmt w:val="bullet"/>
      <w:lvlText w:val="•"/>
      <w:lvlJc w:val="left"/>
      <w:pPr>
        <w:ind w:left="2857" w:hanging="360"/>
      </w:pPr>
      <w:rPr>
        <w:rFonts w:hint="default"/>
        <w:lang w:val="en-US" w:eastAsia="en-US" w:bidi="ar-SA"/>
      </w:rPr>
    </w:lvl>
    <w:lvl w:ilvl="6" w:tplc="C4F0C0D6">
      <w:numFmt w:val="bullet"/>
      <w:lvlText w:val="•"/>
      <w:lvlJc w:val="left"/>
      <w:pPr>
        <w:ind w:left="3336" w:hanging="360"/>
      </w:pPr>
      <w:rPr>
        <w:rFonts w:hint="default"/>
        <w:lang w:val="en-US" w:eastAsia="en-US" w:bidi="ar-SA"/>
      </w:rPr>
    </w:lvl>
    <w:lvl w:ilvl="7" w:tplc="6E0C4D4C">
      <w:numFmt w:val="bullet"/>
      <w:lvlText w:val="•"/>
      <w:lvlJc w:val="left"/>
      <w:pPr>
        <w:ind w:left="3816" w:hanging="360"/>
      </w:pPr>
      <w:rPr>
        <w:rFonts w:hint="default"/>
        <w:lang w:val="en-US" w:eastAsia="en-US" w:bidi="ar-SA"/>
      </w:rPr>
    </w:lvl>
    <w:lvl w:ilvl="8" w:tplc="C1660DA6">
      <w:numFmt w:val="bullet"/>
      <w:lvlText w:val="•"/>
      <w:lvlJc w:val="left"/>
      <w:pPr>
        <w:ind w:left="4295" w:hanging="360"/>
      </w:pPr>
      <w:rPr>
        <w:rFonts w:hint="default"/>
        <w:lang w:val="en-US" w:eastAsia="en-US" w:bidi="ar-SA"/>
      </w:rPr>
    </w:lvl>
  </w:abstractNum>
  <w:abstractNum w:abstractNumId="2" w15:restartNumberingAfterBreak="0">
    <w:nsid w:val="56B94B90"/>
    <w:multiLevelType w:val="hybridMultilevel"/>
    <w:tmpl w:val="77F8F924"/>
    <w:lvl w:ilvl="0" w:tplc="034030B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56602730">
    <w:abstractNumId w:val="1"/>
  </w:num>
  <w:num w:numId="2" w16cid:durableId="7873097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7426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E6094"/>
    <w:rsid w:val="003F1E03"/>
    <w:rsid w:val="004A225D"/>
    <w:rsid w:val="004D54BD"/>
    <w:rsid w:val="0053383A"/>
    <w:rsid w:val="005B10B6"/>
    <w:rsid w:val="005E6094"/>
    <w:rsid w:val="009319CE"/>
    <w:rsid w:val="009A0418"/>
    <w:rsid w:val="009E098B"/>
    <w:rsid w:val="00A33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E0E65"/>
  <w15:docId w15:val="{649D9446-F5C4-4619-B061-FD9B5D98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6"/>
      <w:outlineLvl w:val="0"/>
    </w:pPr>
    <w:rPr>
      <w:rFonts w:ascii="Calibri" w:eastAsia="Calibri" w:hAnsi="Calibri" w:cs="Calibri"/>
      <w:b/>
      <w:bCs/>
      <w:sz w:val="28"/>
      <w:szCs w:val="28"/>
    </w:rPr>
  </w:style>
  <w:style w:type="paragraph" w:styleId="Heading2">
    <w:name w:val="heading 2"/>
    <w:basedOn w:val="Normal"/>
    <w:uiPriority w:val="9"/>
    <w:unhideWhenUsed/>
    <w:qFormat/>
    <w:pPr>
      <w:spacing w:before="121"/>
      <w:ind w:left="100"/>
      <w:outlineLvl w:val="1"/>
    </w:pPr>
    <w:rPr>
      <w:rFonts w:ascii="Calibri" w:eastAsia="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1"/>
      <w:ind w:left="460"/>
      <w:jc w:val="both"/>
    </w:pPr>
    <w:rPr>
      <w:sz w:val="24"/>
      <w:szCs w:val="24"/>
    </w:rPr>
  </w:style>
  <w:style w:type="paragraph" w:styleId="ListParagraph">
    <w:name w:val="List Paragraph"/>
    <w:basedOn w:val="Normal"/>
    <w:uiPriority w:val="34"/>
    <w:qFormat/>
    <w:pPr>
      <w:spacing w:before="111"/>
      <w:ind w:left="460" w:right="158"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319CE"/>
    <w:pPr>
      <w:tabs>
        <w:tab w:val="center" w:pos="4153"/>
        <w:tab w:val="right" w:pos="8306"/>
      </w:tabs>
    </w:pPr>
  </w:style>
  <w:style w:type="character" w:customStyle="1" w:styleId="HeaderChar">
    <w:name w:val="Header Char"/>
    <w:basedOn w:val="DefaultParagraphFont"/>
    <w:link w:val="Header"/>
    <w:uiPriority w:val="99"/>
    <w:rsid w:val="009319CE"/>
    <w:rPr>
      <w:rFonts w:ascii="Times New Roman" w:eastAsia="Times New Roman" w:hAnsi="Times New Roman" w:cs="Times New Roman"/>
    </w:rPr>
  </w:style>
  <w:style w:type="paragraph" w:styleId="Footer">
    <w:name w:val="footer"/>
    <w:basedOn w:val="Normal"/>
    <w:link w:val="FooterChar"/>
    <w:uiPriority w:val="99"/>
    <w:unhideWhenUsed/>
    <w:rsid w:val="009319CE"/>
    <w:pPr>
      <w:tabs>
        <w:tab w:val="center" w:pos="4153"/>
        <w:tab w:val="right" w:pos="8306"/>
      </w:tabs>
    </w:pPr>
  </w:style>
  <w:style w:type="character" w:customStyle="1" w:styleId="FooterChar">
    <w:name w:val="Footer Char"/>
    <w:basedOn w:val="DefaultParagraphFont"/>
    <w:link w:val="Footer"/>
    <w:uiPriority w:val="99"/>
    <w:rsid w:val="009319C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231639">
      <w:bodyDiv w:val="1"/>
      <w:marLeft w:val="0"/>
      <w:marRight w:val="0"/>
      <w:marTop w:val="0"/>
      <w:marBottom w:val="0"/>
      <w:divBdr>
        <w:top w:val="none" w:sz="0" w:space="0" w:color="auto"/>
        <w:left w:val="none" w:sz="0" w:space="0" w:color="auto"/>
        <w:bottom w:val="none" w:sz="0" w:space="0" w:color="auto"/>
        <w:right w:val="none" w:sz="0" w:space="0" w:color="auto"/>
      </w:divBdr>
    </w:div>
    <w:div w:id="883560362">
      <w:bodyDiv w:val="1"/>
      <w:marLeft w:val="0"/>
      <w:marRight w:val="0"/>
      <w:marTop w:val="0"/>
      <w:marBottom w:val="0"/>
      <w:divBdr>
        <w:top w:val="none" w:sz="0" w:space="0" w:color="auto"/>
        <w:left w:val="none" w:sz="0" w:space="0" w:color="auto"/>
        <w:bottom w:val="none" w:sz="0" w:space="0" w:color="auto"/>
        <w:right w:val="none" w:sz="0" w:space="0" w:color="auto"/>
      </w:divBdr>
    </w:div>
    <w:div w:id="901647114">
      <w:bodyDiv w:val="1"/>
      <w:marLeft w:val="0"/>
      <w:marRight w:val="0"/>
      <w:marTop w:val="0"/>
      <w:marBottom w:val="0"/>
      <w:divBdr>
        <w:top w:val="none" w:sz="0" w:space="0" w:color="auto"/>
        <w:left w:val="none" w:sz="0" w:space="0" w:color="auto"/>
        <w:bottom w:val="none" w:sz="0" w:space="0" w:color="auto"/>
        <w:right w:val="none" w:sz="0" w:space="0" w:color="auto"/>
      </w:divBdr>
    </w:div>
    <w:div w:id="979842628">
      <w:bodyDiv w:val="1"/>
      <w:marLeft w:val="0"/>
      <w:marRight w:val="0"/>
      <w:marTop w:val="0"/>
      <w:marBottom w:val="0"/>
      <w:divBdr>
        <w:top w:val="none" w:sz="0" w:space="0" w:color="auto"/>
        <w:left w:val="none" w:sz="0" w:space="0" w:color="auto"/>
        <w:bottom w:val="none" w:sz="0" w:space="0" w:color="auto"/>
        <w:right w:val="none" w:sz="0" w:space="0" w:color="auto"/>
      </w:divBdr>
    </w:div>
    <w:div w:id="1289318609">
      <w:bodyDiv w:val="1"/>
      <w:marLeft w:val="0"/>
      <w:marRight w:val="0"/>
      <w:marTop w:val="0"/>
      <w:marBottom w:val="0"/>
      <w:divBdr>
        <w:top w:val="none" w:sz="0" w:space="0" w:color="auto"/>
        <w:left w:val="none" w:sz="0" w:space="0" w:color="auto"/>
        <w:bottom w:val="none" w:sz="0" w:space="0" w:color="auto"/>
        <w:right w:val="none" w:sz="0" w:space="0" w:color="auto"/>
      </w:divBdr>
    </w:div>
    <w:div w:id="1512603085">
      <w:bodyDiv w:val="1"/>
      <w:marLeft w:val="0"/>
      <w:marRight w:val="0"/>
      <w:marTop w:val="0"/>
      <w:marBottom w:val="0"/>
      <w:divBdr>
        <w:top w:val="none" w:sz="0" w:space="0" w:color="auto"/>
        <w:left w:val="none" w:sz="0" w:space="0" w:color="auto"/>
        <w:bottom w:val="none" w:sz="0" w:space="0" w:color="auto"/>
        <w:right w:val="none" w:sz="0" w:space="0" w:color="auto"/>
      </w:divBdr>
    </w:div>
    <w:div w:id="1868910123">
      <w:bodyDiv w:val="1"/>
      <w:marLeft w:val="0"/>
      <w:marRight w:val="0"/>
      <w:marTop w:val="0"/>
      <w:marBottom w:val="0"/>
      <w:divBdr>
        <w:top w:val="none" w:sz="0" w:space="0" w:color="auto"/>
        <w:left w:val="none" w:sz="0" w:space="0" w:color="auto"/>
        <w:bottom w:val="none" w:sz="0" w:space="0" w:color="auto"/>
        <w:right w:val="none" w:sz="0" w:space="0" w:color="auto"/>
      </w:divBdr>
    </w:div>
    <w:div w:id="1881623125">
      <w:bodyDiv w:val="1"/>
      <w:marLeft w:val="0"/>
      <w:marRight w:val="0"/>
      <w:marTop w:val="0"/>
      <w:marBottom w:val="0"/>
      <w:divBdr>
        <w:top w:val="none" w:sz="0" w:space="0" w:color="auto"/>
        <w:left w:val="none" w:sz="0" w:space="0" w:color="auto"/>
        <w:bottom w:val="none" w:sz="0" w:space="0" w:color="auto"/>
        <w:right w:val="none" w:sz="0" w:space="0" w:color="auto"/>
      </w:divBdr>
    </w:div>
    <w:div w:id="1956328112">
      <w:bodyDiv w:val="1"/>
      <w:marLeft w:val="0"/>
      <w:marRight w:val="0"/>
      <w:marTop w:val="0"/>
      <w:marBottom w:val="0"/>
      <w:divBdr>
        <w:top w:val="none" w:sz="0" w:space="0" w:color="auto"/>
        <w:left w:val="none" w:sz="0" w:space="0" w:color="auto"/>
        <w:bottom w:val="none" w:sz="0" w:space="0" w:color="auto"/>
        <w:right w:val="none" w:sz="0" w:space="0" w:color="auto"/>
      </w:divBdr>
    </w:div>
    <w:div w:id="20942327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eetingsint.com/conferences/emergencymedicine" TargetMode="External"/><Relationship Id="rId1" Type="http://schemas.openxmlformats.org/officeDocument/2006/relationships/hyperlink" Target="http://www.meetingsint.com/conferences/emergencymedicin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2FA1E-3AB9-42D9-9850-5FF9EE27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Al-Zahraa Khalifa Abdullah Al Sa'Idi</cp:lastModifiedBy>
  <cp:revision>3</cp:revision>
  <dcterms:created xsi:type="dcterms:W3CDTF">2023-10-21T14:30:00Z</dcterms:created>
  <dcterms:modified xsi:type="dcterms:W3CDTF">2023-10-21T14:30:00Z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2023-10-21T00:00:00Z</vt:filetime>
  </property>
</Properties>
</file>