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b/>
                <w:bCs/>
                <w:color w:val="000000"/>
                <w:sz w:val="24"/>
                <w:szCs w:val="24"/>
                <w:lang w:val="en-GB" w:eastAsia="en-GB"/>
              </w:rPr>
              <w:t xml:space="preserve">ABSTRACT </w:t>
            </w:r>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color w:val="000000"/>
                <w:sz w:val="24"/>
                <w:szCs w:val="24"/>
                <w:lang w:val="en-GB" w:eastAsia="en-GB"/>
              </w:rPr>
              <w:t>The time course of osmolality and electrolyte changes during prolonged mannitol therapy in conservative management of traumatic brain injury</w:t>
            </w:r>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b/>
                <w:bCs/>
                <w:color w:val="000000"/>
                <w:sz w:val="24"/>
                <w:szCs w:val="24"/>
                <w:u w:val="single"/>
                <w:lang w:val="en-GB" w:eastAsia="en-GB"/>
              </w:rPr>
              <w:t xml:space="preserve">Ajay Kumar, Hemant </w:t>
            </w:r>
            <w:proofErr w:type="spellStart"/>
            <w:r w:rsidRPr="007C0A10">
              <w:rPr>
                <w:rFonts w:eastAsia="Times New Roman" w:cs="Times New Roman"/>
                <w:b/>
                <w:bCs/>
                <w:color w:val="000000"/>
                <w:sz w:val="24"/>
                <w:szCs w:val="24"/>
                <w:u w:val="single"/>
                <w:lang w:val="en-GB" w:eastAsia="en-GB"/>
              </w:rPr>
              <w:t>Bhagat</w:t>
            </w:r>
            <w:proofErr w:type="spellEnd"/>
            <w:r w:rsidRPr="007C0A10">
              <w:rPr>
                <w:rFonts w:eastAsia="Times New Roman" w:cs="Times New Roman"/>
                <w:b/>
                <w:bCs/>
                <w:color w:val="000000"/>
                <w:sz w:val="24"/>
                <w:szCs w:val="24"/>
                <w:u w:val="single"/>
                <w:lang w:val="en-GB" w:eastAsia="en-GB"/>
              </w:rPr>
              <w:t xml:space="preserve">, </w:t>
            </w:r>
            <w:proofErr w:type="spellStart"/>
            <w:r w:rsidRPr="007C0A10">
              <w:rPr>
                <w:rFonts w:eastAsia="Times New Roman" w:cs="Times New Roman"/>
                <w:b/>
                <w:bCs/>
                <w:color w:val="000000"/>
                <w:sz w:val="24"/>
                <w:szCs w:val="24"/>
                <w:u w:val="single"/>
                <w:lang w:val="en-GB" w:eastAsia="en-GB"/>
              </w:rPr>
              <w:t>Ishwar</w:t>
            </w:r>
            <w:proofErr w:type="spellEnd"/>
            <w:r w:rsidRPr="007C0A10">
              <w:rPr>
                <w:rFonts w:eastAsia="Times New Roman" w:cs="Times New Roman"/>
                <w:b/>
                <w:bCs/>
                <w:color w:val="000000"/>
                <w:sz w:val="24"/>
                <w:szCs w:val="24"/>
                <w:u w:val="single"/>
                <w:lang w:val="en-GB" w:eastAsia="en-GB"/>
              </w:rPr>
              <w:t xml:space="preserve"> </w:t>
            </w:r>
            <w:proofErr w:type="spellStart"/>
            <w:r w:rsidRPr="007C0A10">
              <w:rPr>
                <w:rFonts w:eastAsia="Times New Roman" w:cs="Times New Roman"/>
                <w:b/>
                <w:bCs/>
                <w:color w:val="000000"/>
                <w:sz w:val="24"/>
                <w:szCs w:val="24"/>
                <w:u w:val="single"/>
                <w:lang w:val="en-GB" w:eastAsia="en-GB"/>
              </w:rPr>
              <w:t>Bhukal</w:t>
            </w:r>
            <w:proofErr w:type="spellEnd"/>
            <w:r w:rsidRPr="007C0A10">
              <w:rPr>
                <w:rFonts w:eastAsia="Times New Roman" w:cs="Times New Roman"/>
                <w:b/>
                <w:bCs/>
                <w:color w:val="000000"/>
                <w:sz w:val="24"/>
                <w:szCs w:val="24"/>
                <w:u w:val="single"/>
                <w:lang w:val="en-GB" w:eastAsia="en-GB"/>
              </w:rPr>
              <w:t xml:space="preserve">, L N </w:t>
            </w:r>
            <w:proofErr w:type="spellStart"/>
            <w:r w:rsidRPr="007C0A10">
              <w:rPr>
                <w:rFonts w:eastAsia="Times New Roman" w:cs="Times New Roman"/>
                <w:b/>
                <w:bCs/>
                <w:color w:val="000000"/>
                <w:sz w:val="24"/>
                <w:szCs w:val="24"/>
                <w:u w:val="single"/>
                <w:lang w:val="en-GB" w:eastAsia="en-GB"/>
              </w:rPr>
              <w:t>Yaddanapudi</w:t>
            </w:r>
            <w:proofErr w:type="spellEnd"/>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color w:val="000000"/>
                <w:sz w:val="24"/>
                <w:szCs w:val="24"/>
                <w:lang w:val="en-GB" w:eastAsia="en-GB"/>
              </w:rPr>
              <w:t>Traumatic Brain Injury,</w:t>
            </w:r>
            <w:r>
              <w:rPr>
                <w:rFonts w:eastAsia="Times New Roman" w:cs="Times New Roman"/>
                <w:color w:val="000000"/>
                <w:sz w:val="24"/>
                <w:szCs w:val="24"/>
                <w:lang w:val="en-GB" w:eastAsia="en-GB"/>
              </w:rPr>
              <w:t xml:space="preserve"> </w:t>
            </w:r>
            <w:r w:rsidRPr="007C0A10">
              <w:rPr>
                <w:rFonts w:eastAsia="Times New Roman" w:cs="Times New Roman"/>
                <w:color w:val="000000"/>
                <w:sz w:val="24"/>
                <w:szCs w:val="24"/>
                <w:lang w:val="en-GB" w:eastAsia="en-GB"/>
              </w:rPr>
              <w:t>Prolonged mannitol therapy, osmolality,</w:t>
            </w:r>
            <w:r>
              <w:rPr>
                <w:rFonts w:eastAsia="Times New Roman" w:cs="Times New Roman"/>
                <w:color w:val="000000"/>
                <w:sz w:val="24"/>
                <w:szCs w:val="24"/>
                <w:lang w:val="en-GB" w:eastAsia="en-GB"/>
              </w:rPr>
              <w:t xml:space="preserve"> </w:t>
            </w:r>
            <w:r w:rsidRPr="007C0A10">
              <w:rPr>
                <w:rFonts w:eastAsia="Times New Roman" w:cs="Times New Roman"/>
                <w:color w:val="000000"/>
                <w:sz w:val="24"/>
                <w:szCs w:val="24"/>
                <w:lang w:val="en-GB" w:eastAsia="en-GB"/>
              </w:rPr>
              <w:t>head injury</w:t>
            </w:r>
          </w:p>
        </w:tc>
      </w:tr>
      <w:tr w:rsidR="007C0A10" w:rsidRPr="007C0A10" w:rsidTr="007C0A10">
        <w:trPr>
          <w:tblCellSpacing w:w="15" w:type="dxa"/>
        </w:trPr>
        <w:tc>
          <w:tcPr>
            <w:tcW w:w="0" w:type="auto"/>
            <w:shd w:val="clear" w:color="auto" w:fill="FFFFFF"/>
            <w:vAlign w:val="center"/>
            <w:hideMark/>
          </w:tcPr>
          <w:p w:rsid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color w:val="000000"/>
                <w:sz w:val="24"/>
                <w:szCs w:val="24"/>
                <w:lang w:val="en-GB" w:eastAsia="en-GB"/>
              </w:rPr>
              <w:t>Trauma and Critical Care</w:t>
            </w:r>
          </w:p>
          <w:p w:rsidR="00276A71" w:rsidRDefault="00276A71" w:rsidP="00276A71">
            <w:pPr>
              <w:spacing w:after="0" w:line="240" w:lineRule="auto"/>
              <w:rPr>
                <w:rFonts w:eastAsia="Times New Roman" w:cs="Times New Roman"/>
                <w:color w:val="000000"/>
                <w:sz w:val="24"/>
                <w:szCs w:val="24"/>
                <w:lang w:val="en-GB" w:eastAsia="en-GB"/>
              </w:rPr>
            </w:pPr>
            <w:r>
              <w:rPr>
                <w:rFonts w:eastAsia="Times New Roman" w:cs="Times New Roman"/>
                <w:color w:val="000000"/>
                <w:sz w:val="24"/>
                <w:szCs w:val="24"/>
                <w:lang w:val="en-GB" w:eastAsia="en-GB"/>
              </w:rPr>
              <w:t xml:space="preserve">All India </w:t>
            </w:r>
            <w:proofErr w:type="spellStart"/>
            <w:r>
              <w:rPr>
                <w:rFonts w:eastAsia="Times New Roman" w:cs="Times New Roman"/>
                <w:color w:val="000000"/>
                <w:sz w:val="24"/>
                <w:szCs w:val="24"/>
                <w:lang w:val="en-GB" w:eastAsia="en-GB"/>
              </w:rPr>
              <w:t>Instititute</w:t>
            </w:r>
            <w:proofErr w:type="spellEnd"/>
            <w:r>
              <w:rPr>
                <w:rFonts w:eastAsia="Times New Roman" w:cs="Times New Roman"/>
                <w:color w:val="000000"/>
                <w:sz w:val="24"/>
                <w:szCs w:val="24"/>
                <w:lang w:val="en-GB" w:eastAsia="en-GB"/>
              </w:rPr>
              <w:t xml:space="preserve"> if Medical sciences, AIIMS Rishikesh-249202. INDIA</w:t>
            </w:r>
          </w:p>
          <w:p w:rsidR="00276A71" w:rsidRPr="007C0A10" w:rsidRDefault="00276A71" w:rsidP="00276A71">
            <w:pPr>
              <w:spacing w:after="0" w:line="240" w:lineRule="auto"/>
              <w:rPr>
                <w:rFonts w:eastAsia="Times New Roman" w:cs="Times New Roman"/>
                <w:color w:val="000000"/>
                <w:sz w:val="24"/>
                <w:szCs w:val="24"/>
                <w:lang w:val="en-GB" w:eastAsia="en-GB"/>
              </w:rPr>
            </w:pPr>
            <w:r>
              <w:rPr>
                <w:rFonts w:eastAsia="Times New Roman" w:cs="Times New Roman"/>
                <w:color w:val="000000"/>
                <w:sz w:val="24"/>
                <w:szCs w:val="24"/>
                <w:lang w:val="en-GB" w:eastAsia="en-GB"/>
              </w:rPr>
              <w:t>Post graduate institute of medical education and research, Chandigarh, 160012. INDIA</w:t>
            </w:r>
            <w:bookmarkStart w:id="0" w:name="_GoBack"/>
            <w:bookmarkEnd w:id="0"/>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proofErr w:type="gramStart"/>
            <w:r w:rsidRPr="007C0A10">
              <w:rPr>
                <w:rFonts w:eastAsia="Times New Roman" w:cs="Times New Roman"/>
                <w:b/>
                <w:bCs/>
                <w:color w:val="000000"/>
                <w:sz w:val="24"/>
                <w:szCs w:val="24"/>
                <w:lang w:val="en-GB" w:eastAsia="en-GB"/>
              </w:rPr>
              <w:t>Background :</w:t>
            </w:r>
            <w:proofErr w:type="gramEnd"/>
            <w:r w:rsidRPr="007C0A10">
              <w:rPr>
                <w:rFonts w:eastAsia="Times New Roman" w:cs="Times New Roman"/>
                <w:b/>
                <w:bCs/>
                <w:color w:val="000000"/>
                <w:sz w:val="24"/>
                <w:szCs w:val="24"/>
                <w:lang w:val="en-GB" w:eastAsia="en-GB"/>
              </w:rPr>
              <w:t>-</w:t>
            </w:r>
            <w:r w:rsidRPr="007C0A10">
              <w:rPr>
                <w:rFonts w:eastAsia="Times New Roman" w:cs="Times New Roman"/>
                <w:color w:val="000000"/>
                <w:sz w:val="24"/>
                <w:szCs w:val="24"/>
                <w:lang w:val="en-GB" w:eastAsia="en-GB"/>
              </w:rPr>
              <w:t xml:space="preserve">Mannitol therapy causes decrease in Intra Cranial Pressure (ICP) in patients with traumatic brain injury. </w:t>
            </w:r>
            <w:proofErr w:type="gramStart"/>
            <w:r w:rsidRPr="007C0A10">
              <w:rPr>
                <w:rFonts w:eastAsia="Times New Roman" w:cs="Times New Roman"/>
                <w:color w:val="000000"/>
                <w:sz w:val="24"/>
                <w:szCs w:val="24"/>
                <w:lang w:val="en-GB" w:eastAsia="en-GB"/>
              </w:rPr>
              <w:t>However</w:t>
            </w:r>
            <w:proofErr w:type="gramEnd"/>
            <w:r w:rsidRPr="007C0A10">
              <w:rPr>
                <w:rFonts w:eastAsia="Times New Roman" w:cs="Times New Roman"/>
                <w:color w:val="000000"/>
                <w:sz w:val="24"/>
                <w:szCs w:val="24"/>
                <w:lang w:val="en-GB" w:eastAsia="en-GB"/>
              </w:rPr>
              <w:t xml:space="preserve"> it has a number of complications including </w:t>
            </w:r>
            <w:proofErr w:type="spellStart"/>
            <w:r w:rsidRPr="007C0A10">
              <w:rPr>
                <w:rFonts w:eastAsia="Times New Roman" w:cs="Times New Roman"/>
                <w:color w:val="000000"/>
                <w:sz w:val="24"/>
                <w:szCs w:val="24"/>
                <w:lang w:val="en-GB" w:eastAsia="en-GB"/>
              </w:rPr>
              <w:t>hyperosmolality</w:t>
            </w:r>
            <w:proofErr w:type="spellEnd"/>
            <w:r w:rsidRPr="007C0A10">
              <w:rPr>
                <w:rFonts w:eastAsia="Times New Roman" w:cs="Times New Roman"/>
                <w:color w:val="000000"/>
                <w:sz w:val="24"/>
                <w:szCs w:val="24"/>
                <w:lang w:val="en-GB" w:eastAsia="en-GB"/>
              </w:rPr>
              <w:t xml:space="preserve"> and hypernatremia. There is no evidence to suggest the optimal duration of mannitol therapy based on clinical parameters. The duration of administration of mannitol therapy based on clinical parameters is variable. Effects of prolonged mannitol therapy on </w:t>
            </w:r>
            <w:proofErr w:type="spellStart"/>
            <w:r w:rsidRPr="007C0A10">
              <w:rPr>
                <w:rFonts w:eastAsia="Times New Roman" w:cs="Times New Roman"/>
                <w:color w:val="000000"/>
                <w:sz w:val="24"/>
                <w:szCs w:val="24"/>
                <w:lang w:val="en-GB" w:eastAsia="en-GB"/>
              </w:rPr>
              <w:t>osmolar</w:t>
            </w:r>
            <w:proofErr w:type="spellEnd"/>
            <w:r w:rsidRPr="007C0A10">
              <w:rPr>
                <w:rFonts w:eastAsia="Times New Roman" w:cs="Times New Roman"/>
                <w:color w:val="000000"/>
                <w:sz w:val="24"/>
                <w:szCs w:val="24"/>
                <w:lang w:val="en-GB" w:eastAsia="en-GB"/>
              </w:rPr>
              <w:t xml:space="preserve"> and biochemical changes are yet to be evaluated.</w:t>
            </w:r>
          </w:p>
          <w:p w:rsidR="007C0A10" w:rsidRPr="007C0A10" w:rsidRDefault="007C0A10" w:rsidP="007C0A10">
            <w:pPr>
              <w:spacing w:after="0" w:line="240" w:lineRule="auto"/>
              <w:rPr>
                <w:rFonts w:eastAsia="Times New Roman" w:cs="Times New Roman"/>
                <w:color w:val="000000"/>
                <w:sz w:val="24"/>
                <w:szCs w:val="24"/>
                <w:lang w:val="en-GB" w:eastAsia="en-GB"/>
              </w:rPr>
            </w:pPr>
            <w:proofErr w:type="gramStart"/>
            <w:r w:rsidRPr="007C0A10">
              <w:rPr>
                <w:rFonts w:eastAsia="Times New Roman" w:cs="Times New Roman"/>
                <w:b/>
                <w:bCs/>
                <w:color w:val="000000"/>
                <w:sz w:val="24"/>
                <w:szCs w:val="24"/>
                <w:lang w:val="en-GB" w:eastAsia="en-GB"/>
              </w:rPr>
              <w:t>Aim:-</w:t>
            </w:r>
            <w:proofErr w:type="gramEnd"/>
            <w:r w:rsidRPr="007C0A10">
              <w:rPr>
                <w:rFonts w:eastAsia="Times New Roman" w:cs="Times New Roman"/>
                <w:color w:val="000000"/>
                <w:sz w:val="24"/>
                <w:szCs w:val="24"/>
                <w:lang w:val="en-GB" w:eastAsia="en-GB"/>
              </w:rPr>
              <w:t>This study was aimed at studying the time course of osmolality and biochemical changes during mannitol therapy in patients with severe TBI.</w:t>
            </w:r>
          </w:p>
          <w:p w:rsidR="007C0A10" w:rsidRPr="007C0A10" w:rsidRDefault="007C0A10" w:rsidP="007C0A10">
            <w:pPr>
              <w:spacing w:after="0" w:line="240" w:lineRule="auto"/>
              <w:rPr>
                <w:rFonts w:eastAsia="Times New Roman" w:cs="Times New Roman"/>
                <w:color w:val="000000"/>
                <w:sz w:val="24"/>
                <w:szCs w:val="24"/>
                <w:lang w:val="en-GB" w:eastAsia="en-GB"/>
              </w:rPr>
            </w:pPr>
            <w:proofErr w:type="gramStart"/>
            <w:r w:rsidRPr="007C0A10">
              <w:rPr>
                <w:rFonts w:eastAsia="Times New Roman" w:cs="Times New Roman"/>
                <w:b/>
                <w:bCs/>
                <w:color w:val="000000"/>
                <w:sz w:val="24"/>
                <w:szCs w:val="24"/>
                <w:lang w:val="en-GB" w:eastAsia="en-GB"/>
              </w:rPr>
              <w:t>Methodology :</w:t>
            </w:r>
            <w:proofErr w:type="gramEnd"/>
            <w:r w:rsidRPr="007C0A10">
              <w:rPr>
                <w:rFonts w:eastAsia="Times New Roman" w:cs="Times New Roman"/>
                <w:b/>
                <w:bCs/>
                <w:color w:val="000000"/>
                <w:sz w:val="24"/>
                <w:szCs w:val="24"/>
                <w:lang w:val="en-GB" w:eastAsia="en-GB"/>
              </w:rPr>
              <w:t>-</w:t>
            </w:r>
            <w:r w:rsidRPr="007C0A10">
              <w:rPr>
                <w:rFonts w:eastAsia="Times New Roman" w:cs="Times New Roman"/>
                <w:color w:val="000000"/>
                <w:sz w:val="24"/>
                <w:szCs w:val="24"/>
                <w:lang w:val="en-GB" w:eastAsia="en-GB"/>
              </w:rPr>
              <w:t xml:space="preserve"> The present article is a prospective observational study conducted on patients with severe brain injury (GCS ≤8), who were managed non operatively in an ICU of tertiary care hospital. The mannitol was being administered prior to ICU admission based on clinical parameters, (i.e. GCS, pupillary size and reaction, deficits) and imaging studies. In the ICU mannitol was administered as 1g per kg per day in three divided doses. Duration of mannitol administration was decided by attending intensivist in consultation with neurosurgeon.  Parameters were measured for 14 days from the day of admission to the ICU. Clinical characteristics of patients based on varied scoring system and </w:t>
            </w:r>
            <w:proofErr w:type="spellStart"/>
            <w:r w:rsidRPr="007C0A10">
              <w:rPr>
                <w:rFonts w:eastAsia="Times New Roman" w:cs="Times New Roman"/>
                <w:color w:val="000000"/>
                <w:sz w:val="24"/>
                <w:szCs w:val="24"/>
                <w:lang w:val="en-GB" w:eastAsia="en-GB"/>
              </w:rPr>
              <w:t>biophysiological</w:t>
            </w:r>
            <w:proofErr w:type="spellEnd"/>
            <w:r w:rsidRPr="007C0A10">
              <w:rPr>
                <w:rFonts w:eastAsia="Times New Roman" w:cs="Times New Roman"/>
                <w:color w:val="000000"/>
                <w:sz w:val="24"/>
                <w:szCs w:val="24"/>
                <w:lang w:val="en-GB" w:eastAsia="en-GB"/>
              </w:rPr>
              <w:t xml:space="preserve"> parameters were monitored on daily basis.</w:t>
            </w:r>
          </w:p>
          <w:p w:rsidR="007C0A10" w:rsidRPr="007C0A10" w:rsidRDefault="007C0A10" w:rsidP="007C0A10">
            <w:pPr>
              <w:spacing w:after="0" w:line="240" w:lineRule="auto"/>
              <w:rPr>
                <w:rFonts w:eastAsia="Times New Roman" w:cs="Times New Roman"/>
                <w:color w:val="000000"/>
                <w:sz w:val="24"/>
                <w:szCs w:val="24"/>
                <w:lang w:val="en-GB" w:eastAsia="en-GB"/>
              </w:rPr>
            </w:pPr>
            <w:proofErr w:type="gramStart"/>
            <w:r w:rsidRPr="007C0A10">
              <w:rPr>
                <w:rFonts w:eastAsia="Times New Roman" w:cs="Times New Roman"/>
                <w:b/>
                <w:bCs/>
                <w:color w:val="000000"/>
                <w:sz w:val="24"/>
                <w:szCs w:val="24"/>
                <w:lang w:val="en-GB" w:eastAsia="en-GB"/>
              </w:rPr>
              <w:t>Results:-</w:t>
            </w:r>
            <w:proofErr w:type="gramEnd"/>
            <w:r w:rsidRPr="007C0A10">
              <w:rPr>
                <w:rFonts w:eastAsia="Times New Roman" w:cs="Times New Roman"/>
                <w:color w:val="000000"/>
                <w:sz w:val="24"/>
                <w:szCs w:val="24"/>
                <w:lang w:val="en-GB" w:eastAsia="en-GB"/>
              </w:rPr>
              <w:t xml:space="preserve"> Mean GCS on admission (n=30) was 5.87+1.137 (range 4 to 8). The baseline value of osmolality was 311.6 </w:t>
            </w:r>
            <w:r>
              <w:rPr>
                <w:rFonts w:ascii="Tahoma" w:eastAsia="Times New Roman" w:hAnsi="Tahoma" w:cs="Tahoma"/>
                <w:color w:val="000000"/>
                <w:sz w:val="24"/>
                <w:szCs w:val="24"/>
                <w:lang w:val="en-GB" w:eastAsia="en-GB"/>
              </w:rPr>
              <w:t xml:space="preserve">± </w:t>
            </w:r>
            <w:r w:rsidRPr="007C0A10">
              <w:rPr>
                <w:rFonts w:eastAsia="Times New Roman" w:cs="Times New Roman"/>
                <w:color w:val="000000"/>
                <w:sz w:val="24"/>
                <w:szCs w:val="24"/>
                <w:lang w:val="en-GB" w:eastAsia="en-GB"/>
              </w:rPr>
              <w:t xml:space="preserve">20.4 </w:t>
            </w:r>
            <w:proofErr w:type="spellStart"/>
            <w:r w:rsidRPr="007C0A10">
              <w:rPr>
                <w:rFonts w:eastAsia="Times New Roman" w:cs="Times New Roman"/>
                <w:color w:val="000000"/>
                <w:sz w:val="24"/>
                <w:szCs w:val="24"/>
                <w:lang w:val="en-GB" w:eastAsia="en-GB"/>
              </w:rPr>
              <w:t>mOsm</w:t>
            </w:r>
            <w:proofErr w:type="spellEnd"/>
            <w:r w:rsidRPr="007C0A10">
              <w:rPr>
                <w:rFonts w:eastAsia="Times New Roman" w:cs="Times New Roman"/>
                <w:color w:val="000000"/>
                <w:sz w:val="24"/>
                <w:szCs w:val="24"/>
                <w:lang w:val="en-GB" w:eastAsia="en-GB"/>
              </w:rPr>
              <w:t xml:space="preserve">/kg and it increased to a maximum value 318.5 </w:t>
            </w:r>
            <w:r>
              <w:rPr>
                <w:rFonts w:ascii="Tahoma" w:eastAsia="Times New Roman" w:hAnsi="Tahoma" w:cs="Tahoma"/>
                <w:color w:val="000000"/>
                <w:sz w:val="24"/>
                <w:szCs w:val="24"/>
                <w:lang w:val="en-GB" w:eastAsia="en-GB"/>
              </w:rPr>
              <w:t>±</w:t>
            </w:r>
            <w:r w:rsidRPr="007C0A10">
              <w:rPr>
                <w:rFonts w:eastAsia="Times New Roman" w:cs="Times New Roman"/>
                <w:color w:val="000000"/>
                <w:sz w:val="24"/>
                <w:szCs w:val="24"/>
                <w:lang w:val="en-GB" w:eastAsia="en-GB"/>
              </w:rPr>
              <w:t xml:space="preserve"> 28.9 </w:t>
            </w:r>
            <w:proofErr w:type="spellStart"/>
            <w:r w:rsidRPr="007C0A10">
              <w:rPr>
                <w:rFonts w:eastAsia="Times New Roman" w:cs="Times New Roman"/>
                <w:color w:val="000000"/>
                <w:sz w:val="24"/>
                <w:szCs w:val="24"/>
                <w:lang w:val="en-GB" w:eastAsia="en-GB"/>
              </w:rPr>
              <w:t>mOsm</w:t>
            </w:r>
            <w:proofErr w:type="spellEnd"/>
            <w:r w:rsidRPr="007C0A10">
              <w:rPr>
                <w:rFonts w:eastAsia="Times New Roman" w:cs="Times New Roman"/>
                <w:color w:val="000000"/>
                <w:sz w:val="24"/>
                <w:szCs w:val="24"/>
                <w:lang w:val="en-GB" w:eastAsia="en-GB"/>
              </w:rPr>
              <w:t xml:space="preserve">/kg in the first 72 hrs. </w:t>
            </w:r>
            <w:proofErr w:type="gramStart"/>
            <w:r w:rsidRPr="007C0A10">
              <w:rPr>
                <w:rFonts w:eastAsia="Times New Roman" w:cs="Times New Roman"/>
                <w:color w:val="000000"/>
                <w:sz w:val="24"/>
                <w:szCs w:val="24"/>
                <w:lang w:val="en-GB" w:eastAsia="en-GB"/>
              </w:rPr>
              <w:t>However</w:t>
            </w:r>
            <w:proofErr w:type="gramEnd"/>
            <w:r w:rsidRPr="007C0A10">
              <w:rPr>
                <w:rFonts w:eastAsia="Times New Roman" w:cs="Times New Roman"/>
                <w:color w:val="000000"/>
                <w:sz w:val="24"/>
                <w:szCs w:val="24"/>
                <w:lang w:val="en-GB" w:eastAsia="en-GB"/>
              </w:rPr>
              <w:t xml:space="preserve"> by tenth day osmolality returned to 304.1 </w:t>
            </w:r>
            <w:r>
              <w:rPr>
                <w:rFonts w:ascii="Tahoma" w:eastAsia="Times New Roman" w:hAnsi="Tahoma" w:cs="Tahoma"/>
                <w:color w:val="000000"/>
                <w:sz w:val="24"/>
                <w:szCs w:val="24"/>
                <w:lang w:val="en-GB" w:eastAsia="en-GB"/>
              </w:rPr>
              <w:t>±</w:t>
            </w:r>
            <w:r w:rsidRPr="007C0A10">
              <w:rPr>
                <w:rFonts w:eastAsia="Times New Roman" w:cs="Times New Roman"/>
                <w:color w:val="000000"/>
                <w:sz w:val="24"/>
                <w:szCs w:val="24"/>
                <w:lang w:val="en-GB" w:eastAsia="en-GB"/>
              </w:rPr>
              <w:t xml:space="preserve"> 19.3 </w:t>
            </w:r>
            <w:proofErr w:type="spellStart"/>
            <w:r w:rsidRPr="007C0A10">
              <w:rPr>
                <w:rFonts w:eastAsia="Times New Roman" w:cs="Times New Roman"/>
                <w:color w:val="000000"/>
                <w:sz w:val="24"/>
                <w:szCs w:val="24"/>
                <w:lang w:val="en-GB" w:eastAsia="en-GB"/>
              </w:rPr>
              <w:t>mOsm</w:t>
            </w:r>
            <w:proofErr w:type="spellEnd"/>
            <w:r w:rsidRPr="007C0A10">
              <w:rPr>
                <w:rFonts w:eastAsia="Times New Roman" w:cs="Times New Roman"/>
                <w:color w:val="000000"/>
                <w:sz w:val="24"/>
                <w:szCs w:val="24"/>
                <w:lang w:val="en-GB" w:eastAsia="en-GB"/>
              </w:rPr>
              <w:t xml:space="preserve">/kg despite mannitol administration. Serum sodium peaked by the third day with a mean increase of 7 </w:t>
            </w:r>
            <w:proofErr w:type="spellStart"/>
            <w:r w:rsidRPr="007C0A10">
              <w:rPr>
                <w:rFonts w:eastAsia="Times New Roman" w:cs="Times New Roman"/>
                <w:color w:val="000000"/>
                <w:sz w:val="24"/>
                <w:szCs w:val="24"/>
                <w:lang w:val="en-GB" w:eastAsia="en-GB"/>
              </w:rPr>
              <w:t>mEq</w:t>
            </w:r>
            <w:proofErr w:type="spellEnd"/>
            <w:r w:rsidRPr="007C0A10">
              <w:rPr>
                <w:rFonts w:eastAsia="Times New Roman" w:cs="Times New Roman"/>
                <w:color w:val="000000"/>
                <w:sz w:val="24"/>
                <w:szCs w:val="24"/>
                <w:lang w:val="en-GB" w:eastAsia="en-GB"/>
              </w:rPr>
              <w:t>/L (150.9</w:t>
            </w:r>
            <w:r>
              <w:rPr>
                <w:rFonts w:ascii="Tahoma" w:eastAsia="Times New Roman" w:hAnsi="Tahoma" w:cs="Tahoma"/>
                <w:color w:val="000000"/>
                <w:sz w:val="24"/>
                <w:szCs w:val="24"/>
                <w:lang w:val="en-GB" w:eastAsia="en-GB"/>
              </w:rPr>
              <w:t>±</w:t>
            </w:r>
            <w:r w:rsidRPr="007C0A10">
              <w:rPr>
                <w:rFonts w:eastAsia="Times New Roman" w:cs="Times New Roman"/>
                <w:color w:val="000000"/>
                <w:sz w:val="24"/>
                <w:szCs w:val="24"/>
                <w:lang w:val="en-GB" w:eastAsia="en-GB"/>
              </w:rPr>
              <w:t xml:space="preserve">11.8 </w:t>
            </w:r>
            <w:proofErr w:type="spellStart"/>
            <w:r w:rsidRPr="007C0A10">
              <w:rPr>
                <w:rFonts w:eastAsia="Times New Roman" w:cs="Times New Roman"/>
                <w:color w:val="000000"/>
                <w:sz w:val="24"/>
                <w:szCs w:val="24"/>
                <w:lang w:val="en-GB" w:eastAsia="en-GB"/>
              </w:rPr>
              <w:t>mEq</w:t>
            </w:r>
            <w:proofErr w:type="spellEnd"/>
            <w:r w:rsidRPr="007C0A10">
              <w:rPr>
                <w:rFonts w:eastAsia="Times New Roman" w:cs="Times New Roman"/>
                <w:color w:val="000000"/>
                <w:sz w:val="24"/>
                <w:szCs w:val="24"/>
                <w:lang w:val="en-GB" w:eastAsia="en-GB"/>
              </w:rPr>
              <w:t xml:space="preserve">/L). Thereafter it reverted back to normal range. The </w:t>
            </w:r>
            <w:proofErr w:type="spellStart"/>
            <w:r w:rsidRPr="007C0A10">
              <w:rPr>
                <w:rFonts w:eastAsia="Times New Roman" w:cs="Times New Roman"/>
                <w:color w:val="000000"/>
                <w:sz w:val="24"/>
                <w:szCs w:val="24"/>
                <w:lang w:val="en-GB" w:eastAsia="en-GB"/>
              </w:rPr>
              <w:t>Osmolar</w:t>
            </w:r>
            <w:proofErr w:type="spellEnd"/>
            <w:r w:rsidRPr="007C0A10">
              <w:rPr>
                <w:rFonts w:eastAsia="Times New Roman" w:cs="Times New Roman"/>
                <w:color w:val="000000"/>
                <w:sz w:val="24"/>
                <w:szCs w:val="24"/>
                <w:lang w:val="en-GB" w:eastAsia="en-GB"/>
              </w:rPr>
              <w:t xml:space="preserve"> gap was less than 10 </w:t>
            </w:r>
            <w:proofErr w:type="spellStart"/>
            <w:r w:rsidRPr="007C0A10">
              <w:rPr>
                <w:rFonts w:eastAsia="Times New Roman" w:cs="Times New Roman"/>
                <w:color w:val="000000"/>
                <w:sz w:val="24"/>
                <w:szCs w:val="24"/>
                <w:lang w:val="en-GB" w:eastAsia="en-GB"/>
              </w:rPr>
              <w:t>mOsml</w:t>
            </w:r>
            <w:proofErr w:type="spellEnd"/>
            <w:r w:rsidRPr="007C0A10">
              <w:rPr>
                <w:rFonts w:eastAsia="Times New Roman" w:cs="Times New Roman"/>
                <w:color w:val="000000"/>
                <w:sz w:val="24"/>
                <w:szCs w:val="24"/>
                <w:lang w:val="en-GB" w:eastAsia="en-GB"/>
              </w:rPr>
              <w:t xml:space="preserve"> on all except on day of admission. </w:t>
            </w:r>
          </w:p>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b/>
                <w:bCs/>
                <w:color w:val="000000"/>
                <w:sz w:val="24"/>
                <w:szCs w:val="24"/>
                <w:lang w:val="en-GB" w:eastAsia="en-GB"/>
              </w:rPr>
              <w:t>Table</w:t>
            </w:r>
            <w:proofErr w:type="gramStart"/>
            <w:r w:rsidRPr="007C0A10">
              <w:rPr>
                <w:rFonts w:eastAsia="Times New Roman" w:cs="Times New Roman"/>
                <w:b/>
                <w:bCs/>
                <w:color w:val="000000"/>
                <w:sz w:val="24"/>
                <w:szCs w:val="24"/>
                <w:lang w:val="en-GB" w:eastAsia="en-GB"/>
              </w:rPr>
              <w:t>1:-</w:t>
            </w:r>
            <w:proofErr w:type="gramEnd"/>
            <w:r w:rsidRPr="007C0A10">
              <w:rPr>
                <w:rFonts w:eastAsia="Times New Roman" w:cs="Times New Roman"/>
                <w:b/>
                <w:bCs/>
                <w:color w:val="000000"/>
                <w:sz w:val="24"/>
                <w:szCs w:val="24"/>
                <w:lang w:val="en-GB" w:eastAsia="en-GB"/>
              </w:rPr>
              <w:t xml:space="preserve"> Parameters in survivors and non survivors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8"/>
              <w:gridCol w:w="2255"/>
              <w:gridCol w:w="2255"/>
              <w:gridCol w:w="2182"/>
            </w:tblGrid>
            <w:tr w:rsidR="007C0A10" w:rsidRPr="007C0A1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parameters</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survivors</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Non survivors</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P value</w:t>
                  </w:r>
                </w:p>
              </w:tc>
            </w:tr>
            <w:tr w:rsidR="007C0A10" w:rsidRPr="007C0A1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Mean maximum Osmolality (</w:t>
                  </w:r>
                  <w:proofErr w:type="spellStart"/>
                  <w:r w:rsidRPr="007C0A10">
                    <w:rPr>
                      <w:rFonts w:eastAsia="Times New Roman" w:cs="Times New Roman"/>
                      <w:sz w:val="24"/>
                      <w:szCs w:val="24"/>
                      <w:lang w:val="en-GB" w:eastAsia="en-GB"/>
                    </w:rPr>
                    <w:t>mOsml</w:t>
                  </w:r>
                  <w:proofErr w:type="spellEnd"/>
                  <w:r w:rsidRPr="007C0A10">
                    <w:rPr>
                      <w:rFonts w:eastAsia="Times New Roman" w:cs="Times New Roman"/>
                      <w:sz w:val="24"/>
                      <w:szCs w:val="24"/>
                      <w:lang w:val="en-GB" w:eastAsia="en-GB"/>
                    </w:rPr>
                    <w:t>/kg)</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337.32(</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25.32)</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372(</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22.55)</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0.008</w:t>
                  </w:r>
                </w:p>
              </w:tc>
            </w:tr>
            <w:tr w:rsidR="007C0A10" w:rsidRPr="007C0A1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Mean maximum s. sodium (</w:t>
                  </w:r>
                  <w:proofErr w:type="spellStart"/>
                  <w:r w:rsidRPr="007C0A10">
                    <w:rPr>
                      <w:rFonts w:eastAsia="Times New Roman" w:cs="Times New Roman"/>
                      <w:sz w:val="24"/>
                      <w:szCs w:val="24"/>
                      <w:lang w:val="en-GB" w:eastAsia="en-GB"/>
                    </w:rPr>
                    <w:t>meq</w:t>
                  </w:r>
                  <w:proofErr w:type="spellEnd"/>
                  <w:r w:rsidRPr="007C0A10">
                    <w:rPr>
                      <w:rFonts w:eastAsia="Times New Roman" w:cs="Times New Roman"/>
                      <w:sz w:val="24"/>
                      <w:szCs w:val="24"/>
                      <w:lang w:val="en-GB" w:eastAsia="en-GB"/>
                    </w:rPr>
                    <w:t>/l)</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155.24(</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9.31)</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176.40(</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10.43)</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0.000</w:t>
                  </w:r>
                </w:p>
              </w:tc>
            </w:tr>
            <w:tr w:rsidR="007C0A10" w:rsidRPr="007C0A1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Mean maximum s. urea (mg/dl)</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56.69(</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17.75)</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93.32(</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39.77)</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0.108</w:t>
                  </w:r>
                </w:p>
              </w:tc>
            </w:tr>
            <w:tr w:rsidR="007C0A10" w:rsidRPr="007C0A1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Mean maximum s. Creatinine (mg/dl)</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0.949(</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0.35)</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2.0640(</w:t>
                  </w:r>
                  <w:r>
                    <w:rPr>
                      <w:rFonts w:ascii="Tahoma" w:eastAsia="Times New Roman" w:hAnsi="Tahoma" w:cs="Tahoma"/>
                      <w:color w:val="000000"/>
                      <w:sz w:val="24"/>
                      <w:szCs w:val="24"/>
                      <w:lang w:val="en-GB" w:eastAsia="en-GB"/>
                    </w:rPr>
                    <w:t>±</w:t>
                  </w:r>
                  <w:r w:rsidRPr="007C0A10">
                    <w:rPr>
                      <w:rFonts w:eastAsia="Times New Roman" w:cs="Times New Roman"/>
                      <w:sz w:val="24"/>
                      <w:szCs w:val="24"/>
                      <w:lang w:val="en-GB" w:eastAsia="en-GB"/>
                    </w:rPr>
                    <w:t>0.35)</w:t>
                  </w:r>
                </w:p>
              </w:tc>
              <w:tc>
                <w:tcPr>
                  <w:tcW w:w="2310" w:type="dxa"/>
                  <w:tcBorders>
                    <w:top w:val="outset" w:sz="6" w:space="0" w:color="auto"/>
                    <w:left w:val="outset" w:sz="6" w:space="0" w:color="auto"/>
                    <w:bottom w:val="outset" w:sz="6" w:space="0" w:color="auto"/>
                    <w:right w:val="outset" w:sz="6" w:space="0" w:color="auto"/>
                  </w:tcBorders>
                  <w:hideMark/>
                </w:tcPr>
                <w:p w:rsidR="007C0A10" w:rsidRPr="007C0A10" w:rsidRDefault="007C0A10" w:rsidP="007C0A10">
                  <w:pPr>
                    <w:spacing w:after="0" w:line="240" w:lineRule="auto"/>
                    <w:rPr>
                      <w:rFonts w:eastAsia="Times New Roman" w:cs="Times New Roman"/>
                      <w:sz w:val="24"/>
                      <w:szCs w:val="24"/>
                      <w:lang w:val="en-GB" w:eastAsia="en-GB"/>
                    </w:rPr>
                  </w:pPr>
                  <w:r w:rsidRPr="007C0A10">
                    <w:rPr>
                      <w:rFonts w:eastAsia="Times New Roman" w:cs="Times New Roman"/>
                      <w:sz w:val="24"/>
                      <w:szCs w:val="24"/>
                      <w:lang w:val="en-GB" w:eastAsia="en-GB"/>
                    </w:rPr>
                    <w:t>0.087</w:t>
                  </w:r>
                </w:p>
              </w:tc>
            </w:tr>
          </w:tbl>
          <w:p w:rsidR="007C0A10" w:rsidRPr="007C0A10" w:rsidRDefault="007C0A10" w:rsidP="007C0A10">
            <w:pPr>
              <w:spacing w:after="0" w:line="240" w:lineRule="auto"/>
              <w:rPr>
                <w:rFonts w:eastAsia="Times New Roman" w:cs="Times New Roman"/>
                <w:color w:val="000000"/>
                <w:sz w:val="24"/>
                <w:szCs w:val="24"/>
                <w:lang w:val="en-GB" w:eastAsia="en-GB"/>
              </w:rPr>
            </w:pPr>
            <w:r w:rsidRPr="007C0A10">
              <w:rPr>
                <w:rFonts w:eastAsia="Times New Roman" w:cs="Times New Roman"/>
                <w:color w:val="000000"/>
                <w:sz w:val="24"/>
                <w:szCs w:val="24"/>
                <w:lang w:val="en-GB" w:eastAsia="en-GB"/>
              </w:rPr>
              <w:t> </w:t>
            </w:r>
          </w:p>
          <w:p w:rsidR="007C0A10" w:rsidRPr="007C0A10" w:rsidRDefault="007C0A10" w:rsidP="007C0A10">
            <w:pPr>
              <w:spacing w:after="0" w:line="240" w:lineRule="auto"/>
              <w:rPr>
                <w:rFonts w:eastAsia="Times New Roman" w:cs="Times New Roman"/>
                <w:color w:val="000000"/>
                <w:sz w:val="24"/>
                <w:szCs w:val="24"/>
                <w:lang w:val="en-GB" w:eastAsia="en-GB"/>
              </w:rPr>
            </w:pPr>
            <w:proofErr w:type="gramStart"/>
            <w:r w:rsidRPr="007C0A10">
              <w:rPr>
                <w:rFonts w:eastAsia="Times New Roman" w:cs="Times New Roman"/>
                <w:b/>
                <w:bCs/>
                <w:color w:val="000000"/>
                <w:sz w:val="24"/>
                <w:szCs w:val="24"/>
                <w:lang w:val="en-GB" w:eastAsia="en-GB"/>
              </w:rPr>
              <w:t>Conclusion :</w:t>
            </w:r>
            <w:proofErr w:type="gramEnd"/>
            <w:r w:rsidRPr="007C0A10">
              <w:rPr>
                <w:rFonts w:eastAsia="Times New Roman" w:cs="Times New Roman"/>
                <w:b/>
                <w:bCs/>
                <w:color w:val="000000"/>
                <w:sz w:val="24"/>
                <w:szCs w:val="24"/>
                <w:lang w:val="en-GB" w:eastAsia="en-GB"/>
              </w:rPr>
              <w:t>-</w:t>
            </w:r>
            <w:r w:rsidRPr="007C0A10">
              <w:rPr>
                <w:rFonts w:eastAsia="Times New Roman" w:cs="Times New Roman"/>
                <w:color w:val="000000"/>
                <w:sz w:val="24"/>
                <w:szCs w:val="24"/>
                <w:lang w:val="en-GB" w:eastAsia="en-GB"/>
              </w:rPr>
              <w:t xml:space="preserve"> When </w:t>
            </w:r>
            <w:proofErr w:type="spellStart"/>
            <w:r w:rsidRPr="007C0A10">
              <w:rPr>
                <w:rFonts w:eastAsia="Times New Roman" w:cs="Times New Roman"/>
                <w:color w:val="000000"/>
                <w:sz w:val="24"/>
                <w:szCs w:val="24"/>
                <w:lang w:val="en-GB" w:eastAsia="en-GB"/>
              </w:rPr>
              <w:t>administerd</w:t>
            </w:r>
            <w:proofErr w:type="spellEnd"/>
            <w:r w:rsidRPr="007C0A10">
              <w:rPr>
                <w:rFonts w:eastAsia="Times New Roman" w:cs="Times New Roman"/>
                <w:color w:val="000000"/>
                <w:sz w:val="24"/>
                <w:szCs w:val="24"/>
                <w:lang w:val="en-GB" w:eastAsia="en-GB"/>
              </w:rPr>
              <w:t xml:space="preserve"> as 1g/kg/day in three divided boluses, the </w:t>
            </w:r>
            <w:proofErr w:type="spellStart"/>
            <w:r w:rsidRPr="007C0A10">
              <w:rPr>
                <w:rFonts w:eastAsia="Times New Roman" w:cs="Times New Roman"/>
                <w:color w:val="000000"/>
                <w:sz w:val="24"/>
                <w:szCs w:val="24"/>
                <w:lang w:val="en-GB" w:eastAsia="en-GB"/>
              </w:rPr>
              <w:t>osmlality</w:t>
            </w:r>
            <w:proofErr w:type="spellEnd"/>
            <w:r w:rsidRPr="007C0A10">
              <w:rPr>
                <w:rFonts w:eastAsia="Times New Roman" w:cs="Times New Roman"/>
                <w:color w:val="000000"/>
                <w:sz w:val="24"/>
                <w:szCs w:val="24"/>
                <w:lang w:val="en-GB" w:eastAsia="en-GB"/>
              </w:rPr>
              <w:t xml:space="preserve"> reaches its peak value at first 72 Hrs. Mannitol appears to be cleared effectively from the serum as observed by the </w:t>
            </w:r>
            <w:proofErr w:type="spellStart"/>
            <w:r w:rsidRPr="007C0A10">
              <w:rPr>
                <w:rFonts w:eastAsia="Times New Roman" w:cs="Times New Roman"/>
                <w:color w:val="000000"/>
                <w:sz w:val="24"/>
                <w:szCs w:val="24"/>
                <w:lang w:val="en-GB" w:eastAsia="en-GB"/>
              </w:rPr>
              <w:t>osmolar</w:t>
            </w:r>
            <w:proofErr w:type="spellEnd"/>
            <w:r w:rsidRPr="007C0A10">
              <w:rPr>
                <w:rFonts w:eastAsia="Times New Roman" w:cs="Times New Roman"/>
                <w:color w:val="000000"/>
                <w:sz w:val="24"/>
                <w:szCs w:val="24"/>
                <w:lang w:val="en-GB" w:eastAsia="en-GB"/>
              </w:rPr>
              <w:t xml:space="preserve"> gap. Prolonged mannitol therapy does not appear to have </w:t>
            </w:r>
            <w:r w:rsidRPr="007C0A10">
              <w:rPr>
                <w:rFonts w:eastAsia="Times New Roman" w:cs="Times New Roman"/>
                <w:color w:val="000000"/>
                <w:sz w:val="24"/>
                <w:szCs w:val="24"/>
                <w:lang w:val="en-GB" w:eastAsia="en-GB"/>
              </w:rPr>
              <w:lastRenderedPageBreak/>
              <w:t>sustained peak serum sodium concentration beyond 72 hours. Maximum osmolality, serum sodium levels may influence the outcome in head injured patients.</w:t>
            </w:r>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color w:val="000000"/>
                <w:sz w:val="24"/>
                <w:szCs w:val="24"/>
                <w:lang w:val="en-GB" w:eastAsia="en-GB"/>
              </w:rPr>
            </w:pPr>
          </w:p>
        </w:tc>
      </w:tr>
      <w:tr w:rsidR="007C0A10" w:rsidRPr="007C0A10" w:rsidTr="007C0A10">
        <w:trPr>
          <w:tblCellSpacing w:w="15" w:type="dxa"/>
        </w:trPr>
        <w:tc>
          <w:tcPr>
            <w:tcW w:w="0" w:type="auto"/>
            <w:shd w:val="clear" w:color="auto" w:fill="FFFFFF"/>
            <w:vAlign w:val="center"/>
            <w:hideMark/>
          </w:tcPr>
          <w:p w:rsidR="007C0A10" w:rsidRPr="007C0A10" w:rsidRDefault="007C0A10" w:rsidP="007C0A10">
            <w:pPr>
              <w:spacing w:after="0" w:line="240" w:lineRule="auto"/>
              <w:rPr>
                <w:rFonts w:eastAsia="Times New Roman" w:cs="Times New Roman"/>
                <w:sz w:val="20"/>
                <w:szCs w:val="20"/>
                <w:lang w:val="en-GB" w:eastAsia="en-GB"/>
              </w:rPr>
            </w:pPr>
          </w:p>
        </w:tc>
      </w:tr>
    </w:tbl>
    <w:p w:rsidR="008F2092" w:rsidRDefault="008F2092" w:rsidP="007C0A10"/>
    <w:sectPr w:rsidR="008F2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A10"/>
    <w:rsid w:val="00276A71"/>
    <w:rsid w:val="007C0A10"/>
    <w:rsid w:val="008F20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B750"/>
  <w15:chartTrackingRefBased/>
  <w15:docId w15:val="{59C4CB6E-A522-474C-A701-A89A77B8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32"/>
        <w:szCs w:val="3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476462">
      <w:bodyDiv w:val="1"/>
      <w:marLeft w:val="0"/>
      <w:marRight w:val="0"/>
      <w:marTop w:val="0"/>
      <w:marBottom w:val="0"/>
      <w:divBdr>
        <w:top w:val="none" w:sz="0" w:space="0" w:color="auto"/>
        <w:left w:val="none" w:sz="0" w:space="0" w:color="auto"/>
        <w:bottom w:val="none" w:sz="0" w:space="0" w:color="auto"/>
        <w:right w:val="none" w:sz="0" w:space="0" w:color="auto"/>
      </w:divBdr>
      <w:divsChild>
        <w:div w:id="930502792">
          <w:marLeft w:val="0"/>
          <w:marRight w:val="0"/>
          <w:marTop w:val="0"/>
          <w:marBottom w:val="0"/>
          <w:divBdr>
            <w:top w:val="none" w:sz="0" w:space="0" w:color="auto"/>
            <w:left w:val="none" w:sz="0" w:space="0" w:color="auto"/>
            <w:bottom w:val="none" w:sz="0" w:space="0" w:color="auto"/>
            <w:right w:val="none" w:sz="0" w:space="0" w:color="auto"/>
          </w:divBdr>
        </w:div>
        <w:div w:id="2142922204">
          <w:marLeft w:val="0"/>
          <w:marRight w:val="0"/>
          <w:marTop w:val="0"/>
          <w:marBottom w:val="0"/>
          <w:divBdr>
            <w:top w:val="none" w:sz="0" w:space="0" w:color="auto"/>
            <w:left w:val="none" w:sz="0" w:space="0" w:color="auto"/>
            <w:bottom w:val="none" w:sz="0" w:space="0" w:color="auto"/>
            <w:right w:val="none" w:sz="0" w:space="0" w:color="auto"/>
          </w:divBdr>
        </w:div>
        <w:div w:id="1456555318">
          <w:marLeft w:val="0"/>
          <w:marRight w:val="0"/>
          <w:marTop w:val="0"/>
          <w:marBottom w:val="0"/>
          <w:divBdr>
            <w:top w:val="none" w:sz="0" w:space="0" w:color="auto"/>
            <w:left w:val="none" w:sz="0" w:space="0" w:color="auto"/>
            <w:bottom w:val="none" w:sz="0" w:space="0" w:color="auto"/>
            <w:right w:val="none" w:sz="0" w:space="0" w:color="auto"/>
          </w:divBdr>
        </w:div>
        <w:div w:id="1444880334">
          <w:marLeft w:val="0"/>
          <w:marRight w:val="0"/>
          <w:marTop w:val="0"/>
          <w:marBottom w:val="0"/>
          <w:divBdr>
            <w:top w:val="none" w:sz="0" w:space="0" w:color="auto"/>
            <w:left w:val="none" w:sz="0" w:space="0" w:color="auto"/>
            <w:bottom w:val="none" w:sz="0" w:space="0" w:color="auto"/>
            <w:right w:val="none" w:sz="0" w:space="0" w:color="auto"/>
          </w:divBdr>
        </w:div>
        <w:div w:id="702436458">
          <w:marLeft w:val="0"/>
          <w:marRight w:val="0"/>
          <w:marTop w:val="0"/>
          <w:marBottom w:val="0"/>
          <w:divBdr>
            <w:top w:val="none" w:sz="0" w:space="0" w:color="auto"/>
            <w:left w:val="none" w:sz="0" w:space="0" w:color="auto"/>
            <w:bottom w:val="none" w:sz="0" w:space="0" w:color="auto"/>
            <w:right w:val="none" w:sz="0" w:space="0" w:color="auto"/>
          </w:divBdr>
        </w:div>
        <w:div w:id="365328203">
          <w:marLeft w:val="0"/>
          <w:marRight w:val="0"/>
          <w:marTop w:val="0"/>
          <w:marBottom w:val="0"/>
          <w:divBdr>
            <w:top w:val="none" w:sz="0" w:space="0" w:color="auto"/>
            <w:left w:val="none" w:sz="0" w:space="0" w:color="auto"/>
            <w:bottom w:val="none" w:sz="0" w:space="0" w:color="auto"/>
            <w:right w:val="none" w:sz="0" w:space="0" w:color="auto"/>
          </w:divBdr>
        </w:div>
        <w:div w:id="579951567">
          <w:marLeft w:val="0"/>
          <w:marRight w:val="0"/>
          <w:marTop w:val="0"/>
          <w:marBottom w:val="0"/>
          <w:divBdr>
            <w:top w:val="none" w:sz="0" w:space="0" w:color="auto"/>
            <w:left w:val="none" w:sz="0" w:space="0" w:color="auto"/>
            <w:bottom w:val="none" w:sz="0" w:space="0" w:color="auto"/>
            <w:right w:val="none" w:sz="0" w:space="0" w:color="auto"/>
          </w:divBdr>
        </w:div>
        <w:div w:id="769661747">
          <w:marLeft w:val="0"/>
          <w:marRight w:val="0"/>
          <w:marTop w:val="0"/>
          <w:marBottom w:val="0"/>
          <w:divBdr>
            <w:top w:val="none" w:sz="0" w:space="0" w:color="auto"/>
            <w:left w:val="none" w:sz="0" w:space="0" w:color="auto"/>
            <w:bottom w:val="none" w:sz="0" w:space="0" w:color="auto"/>
            <w:right w:val="none" w:sz="0" w:space="0" w:color="auto"/>
          </w:divBdr>
        </w:div>
        <w:div w:id="2107992866">
          <w:marLeft w:val="0"/>
          <w:marRight w:val="0"/>
          <w:marTop w:val="0"/>
          <w:marBottom w:val="0"/>
          <w:divBdr>
            <w:top w:val="none" w:sz="0" w:space="0" w:color="auto"/>
            <w:left w:val="none" w:sz="0" w:space="0" w:color="auto"/>
            <w:bottom w:val="none" w:sz="0" w:space="0" w:color="auto"/>
            <w:right w:val="none" w:sz="0" w:space="0" w:color="auto"/>
          </w:divBdr>
        </w:div>
        <w:div w:id="242223771">
          <w:marLeft w:val="0"/>
          <w:marRight w:val="0"/>
          <w:marTop w:val="0"/>
          <w:marBottom w:val="0"/>
          <w:divBdr>
            <w:top w:val="none" w:sz="0" w:space="0" w:color="auto"/>
            <w:left w:val="none" w:sz="0" w:space="0" w:color="auto"/>
            <w:bottom w:val="none" w:sz="0" w:space="0" w:color="auto"/>
            <w:right w:val="none" w:sz="0" w:space="0" w:color="auto"/>
          </w:divBdr>
        </w:div>
        <w:div w:id="1673987768">
          <w:marLeft w:val="0"/>
          <w:marRight w:val="0"/>
          <w:marTop w:val="0"/>
          <w:marBottom w:val="0"/>
          <w:divBdr>
            <w:top w:val="none" w:sz="0" w:space="0" w:color="auto"/>
            <w:left w:val="none" w:sz="0" w:space="0" w:color="auto"/>
            <w:bottom w:val="none" w:sz="0" w:space="0" w:color="auto"/>
            <w:right w:val="none" w:sz="0" w:space="0" w:color="auto"/>
          </w:divBdr>
        </w:div>
        <w:div w:id="1127162412">
          <w:marLeft w:val="0"/>
          <w:marRight w:val="0"/>
          <w:marTop w:val="0"/>
          <w:marBottom w:val="0"/>
          <w:divBdr>
            <w:top w:val="none" w:sz="0" w:space="0" w:color="auto"/>
            <w:left w:val="none" w:sz="0" w:space="0" w:color="auto"/>
            <w:bottom w:val="none" w:sz="0" w:space="0" w:color="auto"/>
            <w:right w:val="none" w:sz="0" w:space="0" w:color="auto"/>
          </w:divBdr>
        </w:div>
        <w:div w:id="358627273">
          <w:marLeft w:val="0"/>
          <w:marRight w:val="0"/>
          <w:marTop w:val="0"/>
          <w:marBottom w:val="0"/>
          <w:divBdr>
            <w:top w:val="none" w:sz="0" w:space="0" w:color="auto"/>
            <w:left w:val="none" w:sz="0" w:space="0" w:color="auto"/>
            <w:bottom w:val="none" w:sz="0" w:space="0" w:color="auto"/>
            <w:right w:val="none" w:sz="0" w:space="0" w:color="auto"/>
          </w:divBdr>
        </w:div>
        <w:div w:id="806319322">
          <w:marLeft w:val="0"/>
          <w:marRight w:val="0"/>
          <w:marTop w:val="0"/>
          <w:marBottom w:val="0"/>
          <w:divBdr>
            <w:top w:val="none" w:sz="0" w:space="0" w:color="auto"/>
            <w:left w:val="none" w:sz="0" w:space="0" w:color="auto"/>
            <w:bottom w:val="none" w:sz="0" w:space="0" w:color="auto"/>
            <w:right w:val="none" w:sz="0" w:space="0" w:color="auto"/>
          </w:divBdr>
        </w:div>
        <w:div w:id="1965498266">
          <w:marLeft w:val="0"/>
          <w:marRight w:val="0"/>
          <w:marTop w:val="0"/>
          <w:marBottom w:val="0"/>
          <w:divBdr>
            <w:top w:val="none" w:sz="0" w:space="0" w:color="auto"/>
            <w:left w:val="none" w:sz="0" w:space="0" w:color="auto"/>
            <w:bottom w:val="none" w:sz="0" w:space="0" w:color="auto"/>
            <w:right w:val="none" w:sz="0" w:space="0" w:color="auto"/>
          </w:divBdr>
        </w:div>
        <w:div w:id="1627469553">
          <w:marLeft w:val="0"/>
          <w:marRight w:val="0"/>
          <w:marTop w:val="0"/>
          <w:marBottom w:val="0"/>
          <w:divBdr>
            <w:top w:val="none" w:sz="0" w:space="0" w:color="auto"/>
            <w:left w:val="none" w:sz="0" w:space="0" w:color="auto"/>
            <w:bottom w:val="none" w:sz="0" w:space="0" w:color="auto"/>
            <w:right w:val="none" w:sz="0" w:space="0" w:color="auto"/>
          </w:divBdr>
        </w:div>
        <w:div w:id="1227187120">
          <w:marLeft w:val="0"/>
          <w:marRight w:val="0"/>
          <w:marTop w:val="0"/>
          <w:marBottom w:val="0"/>
          <w:divBdr>
            <w:top w:val="none" w:sz="0" w:space="0" w:color="auto"/>
            <w:left w:val="none" w:sz="0" w:space="0" w:color="auto"/>
            <w:bottom w:val="none" w:sz="0" w:space="0" w:color="auto"/>
            <w:right w:val="none" w:sz="0" w:space="0" w:color="auto"/>
          </w:divBdr>
        </w:div>
        <w:div w:id="14891113">
          <w:marLeft w:val="0"/>
          <w:marRight w:val="0"/>
          <w:marTop w:val="0"/>
          <w:marBottom w:val="0"/>
          <w:divBdr>
            <w:top w:val="none" w:sz="0" w:space="0" w:color="auto"/>
            <w:left w:val="none" w:sz="0" w:space="0" w:color="auto"/>
            <w:bottom w:val="none" w:sz="0" w:space="0" w:color="auto"/>
            <w:right w:val="none" w:sz="0" w:space="0" w:color="auto"/>
          </w:divBdr>
        </w:div>
        <w:div w:id="500118250">
          <w:marLeft w:val="0"/>
          <w:marRight w:val="0"/>
          <w:marTop w:val="0"/>
          <w:marBottom w:val="0"/>
          <w:divBdr>
            <w:top w:val="none" w:sz="0" w:space="0" w:color="auto"/>
            <w:left w:val="none" w:sz="0" w:space="0" w:color="auto"/>
            <w:bottom w:val="none" w:sz="0" w:space="0" w:color="auto"/>
            <w:right w:val="none" w:sz="0" w:space="0" w:color="auto"/>
          </w:divBdr>
        </w:div>
        <w:div w:id="1687052483">
          <w:marLeft w:val="0"/>
          <w:marRight w:val="0"/>
          <w:marTop w:val="0"/>
          <w:marBottom w:val="0"/>
          <w:divBdr>
            <w:top w:val="none" w:sz="0" w:space="0" w:color="auto"/>
            <w:left w:val="none" w:sz="0" w:space="0" w:color="auto"/>
            <w:bottom w:val="none" w:sz="0" w:space="0" w:color="auto"/>
            <w:right w:val="none" w:sz="0" w:space="0" w:color="auto"/>
          </w:divBdr>
        </w:div>
        <w:div w:id="1143423975">
          <w:marLeft w:val="0"/>
          <w:marRight w:val="0"/>
          <w:marTop w:val="0"/>
          <w:marBottom w:val="0"/>
          <w:divBdr>
            <w:top w:val="none" w:sz="0" w:space="0" w:color="auto"/>
            <w:left w:val="none" w:sz="0" w:space="0" w:color="auto"/>
            <w:bottom w:val="none" w:sz="0" w:space="0" w:color="auto"/>
            <w:right w:val="none" w:sz="0" w:space="0" w:color="auto"/>
          </w:divBdr>
        </w:div>
        <w:div w:id="29107483">
          <w:marLeft w:val="0"/>
          <w:marRight w:val="0"/>
          <w:marTop w:val="0"/>
          <w:marBottom w:val="0"/>
          <w:divBdr>
            <w:top w:val="none" w:sz="0" w:space="0" w:color="auto"/>
            <w:left w:val="none" w:sz="0" w:space="0" w:color="auto"/>
            <w:bottom w:val="none" w:sz="0" w:space="0" w:color="auto"/>
            <w:right w:val="none" w:sz="0" w:space="0" w:color="auto"/>
          </w:divBdr>
        </w:div>
        <w:div w:id="66147831">
          <w:marLeft w:val="0"/>
          <w:marRight w:val="0"/>
          <w:marTop w:val="0"/>
          <w:marBottom w:val="0"/>
          <w:divBdr>
            <w:top w:val="none" w:sz="0" w:space="0" w:color="auto"/>
            <w:left w:val="none" w:sz="0" w:space="0" w:color="auto"/>
            <w:bottom w:val="none" w:sz="0" w:space="0" w:color="auto"/>
            <w:right w:val="none" w:sz="0" w:space="0" w:color="auto"/>
          </w:divBdr>
        </w:div>
        <w:div w:id="248344546">
          <w:marLeft w:val="0"/>
          <w:marRight w:val="0"/>
          <w:marTop w:val="0"/>
          <w:marBottom w:val="0"/>
          <w:divBdr>
            <w:top w:val="none" w:sz="0" w:space="0" w:color="auto"/>
            <w:left w:val="none" w:sz="0" w:space="0" w:color="auto"/>
            <w:bottom w:val="none" w:sz="0" w:space="0" w:color="auto"/>
            <w:right w:val="none" w:sz="0" w:space="0" w:color="auto"/>
          </w:divBdr>
        </w:div>
        <w:div w:id="1196970202">
          <w:marLeft w:val="0"/>
          <w:marRight w:val="0"/>
          <w:marTop w:val="0"/>
          <w:marBottom w:val="0"/>
          <w:divBdr>
            <w:top w:val="none" w:sz="0" w:space="0" w:color="auto"/>
            <w:left w:val="none" w:sz="0" w:space="0" w:color="auto"/>
            <w:bottom w:val="none" w:sz="0" w:space="0" w:color="auto"/>
            <w:right w:val="none" w:sz="0" w:space="0" w:color="auto"/>
          </w:divBdr>
        </w:div>
        <w:div w:id="1556968664">
          <w:marLeft w:val="0"/>
          <w:marRight w:val="0"/>
          <w:marTop w:val="0"/>
          <w:marBottom w:val="0"/>
          <w:divBdr>
            <w:top w:val="none" w:sz="0" w:space="0" w:color="auto"/>
            <w:left w:val="none" w:sz="0" w:space="0" w:color="auto"/>
            <w:bottom w:val="none" w:sz="0" w:space="0" w:color="auto"/>
            <w:right w:val="none" w:sz="0" w:space="0" w:color="auto"/>
          </w:divBdr>
        </w:div>
        <w:div w:id="511574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 kumar</dc:creator>
  <cp:keywords/>
  <dc:description/>
  <cp:lastModifiedBy>ajay kumar</cp:lastModifiedBy>
  <cp:revision>2</cp:revision>
  <dcterms:created xsi:type="dcterms:W3CDTF">2019-01-08T09:34:00Z</dcterms:created>
  <dcterms:modified xsi:type="dcterms:W3CDTF">2019-01-08T09:42:00Z</dcterms:modified>
</cp:coreProperties>
</file>