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46B5" w:rsidRPr="00C57CB6" w:rsidRDefault="004946B5" w:rsidP="00494130">
      <w:pPr>
        <w:pStyle w:val="Ttulo1"/>
        <w:spacing w:before="170"/>
        <w:ind w:left="0"/>
        <w:rPr>
          <w:color w:val="4BACC6" w:themeColor="accent5"/>
        </w:rPr>
      </w:pPr>
      <w:r>
        <w:rPr>
          <w:color w:val="4BACC6" w:themeColor="accent5"/>
        </w:rPr>
        <w:t>Energy Alterations and Chakras’ Energy</w:t>
      </w:r>
      <w:r w:rsidRPr="004946B5">
        <w:rPr>
          <w:color w:val="4BACC6" w:themeColor="accent5"/>
        </w:rPr>
        <w:t xml:space="preserve"> Deficiencies as Underlying Cause of </w:t>
      </w:r>
      <w:r>
        <w:rPr>
          <w:color w:val="4BACC6" w:themeColor="accent5"/>
        </w:rPr>
        <w:t xml:space="preserve">Essential </w:t>
      </w:r>
      <w:r w:rsidRPr="004946B5">
        <w:rPr>
          <w:color w:val="4BACC6" w:themeColor="accent5"/>
        </w:rPr>
        <w:t>Tremors</w:t>
      </w:r>
    </w:p>
    <w:p w:rsidR="004946B5" w:rsidRDefault="004946B5" w:rsidP="00C57CB6">
      <w:pPr>
        <w:pStyle w:val="Corpodetexto"/>
        <w:spacing w:before="73" w:line="198" w:lineRule="exact"/>
        <w:ind w:left="100" w:right="5987"/>
        <w:rPr>
          <w:rFonts w:ascii="Arial"/>
        </w:rPr>
      </w:pPr>
    </w:p>
    <w:p w:rsidR="00C57CB6" w:rsidRPr="00C57CB6" w:rsidRDefault="00C57CB6" w:rsidP="00C57CB6">
      <w:pPr>
        <w:pStyle w:val="Corpodetexto"/>
        <w:spacing w:before="73" w:line="198" w:lineRule="exact"/>
        <w:ind w:left="100" w:right="5987"/>
        <w:rPr>
          <w:rFonts w:ascii="Arial"/>
        </w:rPr>
      </w:pPr>
      <w:r w:rsidRPr="00C57CB6">
        <w:rPr>
          <w:rFonts w:ascii="Arial"/>
        </w:rPr>
        <w:t>Huang Wei Ling</w:t>
      </w:r>
    </w:p>
    <w:p w:rsidR="00C57CB6" w:rsidRPr="005F5BE6" w:rsidRDefault="00C57CB6" w:rsidP="00C57CB6">
      <w:pPr>
        <w:pStyle w:val="Corpodetexto"/>
        <w:spacing w:before="73" w:line="198" w:lineRule="exact"/>
        <w:ind w:left="100" w:right="5987"/>
        <w:rPr>
          <w:rFonts w:ascii="Arial"/>
          <w:lang w:val="pt-BR"/>
        </w:rPr>
      </w:pPr>
      <w:r w:rsidRPr="00C57CB6">
        <w:rPr>
          <w:rFonts w:ascii="Arial"/>
        </w:rPr>
        <w:t xml:space="preserve">Medical Acupuncture and Pain Management Clinic. </w:t>
      </w:r>
      <w:r w:rsidRPr="005F5BE6">
        <w:rPr>
          <w:rFonts w:ascii="Arial"/>
          <w:lang w:val="pt-BR"/>
        </w:rPr>
        <w:t>Franca. S</w:t>
      </w:r>
      <w:r w:rsidRPr="005F5BE6">
        <w:rPr>
          <w:rFonts w:ascii="Arial"/>
          <w:lang w:val="pt-BR"/>
        </w:rPr>
        <w:t>ã</w:t>
      </w:r>
      <w:r w:rsidRPr="005F5BE6">
        <w:rPr>
          <w:rFonts w:ascii="Arial"/>
          <w:lang w:val="pt-BR"/>
        </w:rPr>
        <w:t>o Paulo. Brazil</w:t>
      </w:r>
    </w:p>
    <w:p w:rsidR="00AE3E37" w:rsidRPr="005F5BE6" w:rsidRDefault="00AE3E37">
      <w:pPr>
        <w:pStyle w:val="Corpodetexto"/>
        <w:rPr>
          <w:rFonts w:ascii="Arial"/>
          <w:sz w:val="20"/>
          <w:lang w:val="pt-BR"/>
        </w:rPr>
      </w:pPr>
    </w:p>
    <w:p w:rsidR="00AE3E37" w:rsidRPr="005F5BE6" w:rsidRDefault="00AE3E37">
      <w:pPr>
        <w:pStyle w:val="Corpodetexto"/>
        <w:spacing w:before="3"/>
        <w:rPr>
          <w:rFonts w:ascii="Arial"/>
          <w:sz w:val="21"/>
          <w:lang w:val="pt-BR"/>
        </w:rPr>
      </w:pPr>
    </w:p>
    <w:p w:rsidR="00AE3E37" w:rsidRPr="005F5BE6" w:rsidRDefault="00AE3E37">
      <w:pPr>
        <w:rPr>
          <w:rFonts w:ascii="Arial"/>
          <w:sz w:val="21"/>
          <w:lang w:val="pt-BR"/>
        </w:rPr>
        <w:sectPr w:rsidR="00AE3E37" w:rsidRPr="005F5BE6">
          <w:headerReference w:type="default" r:id="rId7"/>
          <w:footerReference w:type="default" r:id="rId8"/>
          <w:type w:val="continuous"/>
          <w:pgSz w:w="11910" w:h="16840"/>
          <w:pgMar w:top="1740" w:right="600" w:bottom="840" w:left="620" w:header="541" w:footer="642" w:gutter="0"/>
          <w:cols w:space="720"/>
        </w:sectPr>
      </w:pPr>
    </w:p>
    <w:p w:rsidR="00AE3E37" w:rsidRPr="005F5BE6" w:rsidRDefault="00A9710C">
      <w:pPr>
        <w:pStyle w:val="Ttulo3"/>
        <w:spacing w:before="147"/>
        <w:jc w:val="both"/>
        <w:rPr>
          <w:lang w:val="pt-BR"/>
        </w:rPr>
      </w:pPr>
      <w:r w:rsidRPr="005F5BE6">
        <w:rPr>
          <w:color w:val="BF5A14"/>
          <w:lang w:val="pt-BR"/>
        </w:rPr>
        <w:lastRenderedPageBreak/>
        <w:t>Abstract</w:t>
      </w:r>
      <w:r w:rsidR="00404E5B" w:rsidRPr="005F5BE6">
        <w:rPr>
          <w:color w:val="BF5A14"/>
          <w:lang w:val="pt-BR"/>
        </w:rPr>
        <w:t xml:space="preserve"> </w:t>
      </w:r>
    </w:p>
    <w:p w:rsidR="004946B5" w:rsidRPr="004946B5" w:rsidRDefault="00A9710C" w:rsidP="004946B5">
      <w:pPr>
        <w:jc w:val="both"/>
        <w:rPr>
          <w:rFonts w:ascii="Times New Roman" w:hAnsi="Times New Roman" w:cs="Times New Roman"/>
        </w:rPr>
      </w:pPr>
      <w:r w:rsidRPr="004946B5">
        <w:rPr>
          <w:b/>
        </w:rPr>
        <w:t xml:space="preserve"> </w:t>
      </w:r>
      <w:r w:rsidR="004946B5" w:rsidRPr="004946B5">
        <w:rPr>
          <w:rFonts w:ascii="Times New Roman" w:hAnsi="Times New Roman" w:cs="Times New Roman"/>
          <w:b/>
          <w:sz w:val="20"/>
          <w:szCs w:val="20"/>
        </w:rPr>
        <w:t>Introduction:</w:t>
      </w:r>
      <w:r w:rsidR="004946B5" w:rsidRPr="004946B5">
        <w:rPr>
          <w:rFonts w:ascii="Times New Roman" w:hAnsi="Times New Roman" w:cs="Times New Roman"/>
          <w:sz w:val="20"/>
          <w:szCs w:val="20"/>
        </w:rPr>
        <w:t xml:space="preserve">  Essential tremor (ET) is a nervous system disorder causing involuntary and rhythmic shaking. In traditional Chinese medicine, tremors could be caused by energy deficiencies leading to internal Heat and Wind formation responsible for the tremors. </w:t>
      </w:r>
      <w:r w:rsidR="004946B5" w:rsidRPr="004946B5">
        <w:rPr>
          <w:rFonts w:ascii="Times New Roman" w:hAnsi="Times New Roman" w:cs="Times New Roman"/>
          <w:b/>
          <w:sz w:val="20"/>
          <w:szCs w:val="20"/>
        </w:rPr>
        <w:t>The purpose of this study is</w:t>
      </w:r>
      <w:r w:rsidR="004946B5" w:rsidRPr="004946B5">
        <w:rPr>
          <w:rFonts w:ascii="Times New Roman" w:hAnsi="Times New Roman" w:cs="Times New Roman"/>
          <w:sz w:val="20"/>
          <w:szCs w:val="20"/>
        </w:rPr>
        <w:t xml:space="preserve"> to demonstrate that patients with ET have an energy and chakras’ energy deficiency and the correction of these imbalances and replenishment of these chakras’ energy deficiency is important to treat this kind of patients. </w:t>
      </w:r>
      <w:r w:rsidR="004946B5" w:rsidRPr="004946B5">
        <w:rPr>
          <w:rFonts w:ascii="Times New Roman" w:hAnsi="Times New Roman" w:cs="Times New Roman"/>
          <w:b/>
          <w:sz w:val="20"/>
          <w:szCs w:val="20"/>
        </w:rPr>
        <w:t>The methodology used was</w:t>
      </w:r>
      <w:r w:rsidR="004946B5" w:rsidRPr="004946B5">
        <w:rPr>
          <w:rFonts w:ascii="Times New Roman" w:hAnsi="Times New Roman" w:cs="Times New Roman"/>
          <w:sz w:val="20"/>
          <w:szCs w:val="20"/>
        </w:rPr>
        <w:t xml:space="preserve"> based on five clinical cases reports, two adolescents, one young adult and two older people. All of them complaining of a mild tremor in the hands. In the adolescents the main cause was the excessive of use computer and cellphone; in the young adults was due to excessive use of psychotropic medications; in the older patient, the tremor appeared after implantation of dental implant. All of them did the chakras’ energy measurement through radiesthesia procedure and all the energy in these chakras was completely depleted in energy. The treatment was done rebalancing the internal energy through Chinese dietary nutrition, auricular acupuncture with apex ear bloodletting and replenishment of the chakras energy deficiency through highly diluted medications. </w:t>
      </w:r>
      <w:r w:rsidR="004946B5" w:rsidRPr="004946B5">
        <w:rPr>
          <w:rFonts w:ascii="Times New Roman" w:hAnsi="Times New Roman" w:cs="Times New Roman"/>
          <w:b/>
          <w:sz w:val="20"/>
          <w:szCs w:val="20"/>
        </w:rPr>
        <w:t>Findings:</w:t>
      </w:r>
      <w:r w:rsidR="004946B5" w:rsidRPr="004946B5">
        <w:rPr>
          <w:rFonts w:ascii="Times New Roman" w:hAnsi="Times New Roman" w:cs="Times New Roman"/>
          <w:sz w:val="20"/>
          <w:szCs w:val="20"/>
        </w:rPr>
        <w:t xml:space="preserve"> All patients improved a lot the ET with the treatment done.  </w:t>
      </w:r>
      <w:r w:rsidR="004946B5" w:rsidRPr="004946B5">
        <w:rPr>
          <w:rFonts w:ascii="Times New Roman" w:hAnsi="Times New Roman" w:cs="Times New Roman"/>
          <w:b/>
          <w:sz w:val="20"/>
          <w:szCs w:val="20"/>
        </w:rPr>
        <w:t>Conclusion:</w:t>
      </w:r>
      <w:r w:rsidR="004946B5" w:rsidRPr="004946B5">
        <w:rPr>
          <w:rFonts w:ascii="Times New Roman" w:hAnsi="Times New Roman" w:cs="Times New Roman"/>
          <w:sz w:val="20"/>
          <w:szCs w:val="20"/>
        </w:rPr>
        <w:t xml:space="preserve"> Through these cases reports it is possible to observe the effectiveness and importance of considering energy imbalances during diagnosis and treatment of ET. Therefore, in order to treat </w:t>
      </w:r>
      <w:r w:rsidR="004946B5" w:rsidRPr="004946B5">
        <w:rPr>
          <w:rFonts w:ascii="Times New Roman" w:hAnsi="Times New Roman" w:cs="Times New Roman"/>
          <w:sz w:val="20"/>
          <w:szCs w:val="20"/>
        </w:rPr>
        <w:lastRenderedPageBreak/>
        <w:t>correctly the tremor on the hands, we must treat the patient as a whole, observing his emotions, diet, type of medication that the patient is using, the use of electromagnetic devices and the use of metal implants in the body, that could be the factors leading to energy deficiencies</w:t>
      </w:r>
      <w:r w:rsidR="004946B5" w:rsidRPr="004946B5">
        <w:rPr>
          <w:rFonts w:ascii="Times New Roman" w:hAnsi="Times New Roman" w:cs="Times New Roman"/>
        </w:rPr>
        <w:t>.</w:t>
      </w:r>
    </w:p>
    <w:p w:rsidR="005F5BE6" w:rsidRDefault="005F5BE6" w:rsidP="004946B5">
      <w:pPr>
        <w:pStyle w:val="Corpodetexto"/>
        <w:spacing w:before="90" w:line="280" w:lineRule="auto"/>
        <w:jc w:val="both"/>
      </w:pPr>
    </w:p>
    <w:p w:rsidR="00C57CB6" w:rsidRPr="00C57CB6" w:rsidRDefault="00C57CB6" w:rsidP="00C57CB6">
      <w:pPr>
        <w:spacing w:line="204" w:lineRule="exact"/>
        <w:rPr>
          <w:rFonts w:ascii="Arial"/>
          <w:b/>
          <w:sz w:val="20"/>
        </w:rPr>
      </w:pPr>
      <w:r>
        <w:rPr>
          <w:rFonts w:ascii="Arial"/>
          <w:b/>
          <w:color w:val="BF5A14"/>
          <w:sz w:val="20"/>
        </w:rPr>
        <w:br/>
        <w:t>Recent Publications.</w:t>
      </w:r>
      <w:r w:rsidR="008756E6">
        <w:rPr>
          <w:rFonts w:ascii="Calibri" w:hAnsi="Calibri"/>
        </w:rPr>
        <w:t xml:space="preserve">  </w:t>
      </w:r>
    </w:p>
    <w:p w:rsidR="00C57CB6" w:rsidRPr="00C57CB6" w:rsidRDefault="00C57CB6" w:rsidP="00C57CB6">
      <w:pPr>
        <w:pStyle w:val="PargrafodaLista"/>
        <w:numPr>
          <w:ilvl w:val="0"/>
          <w:numId w:val="3"/>
        </w:numPr>
        <w:tabs>
          <w:tab w:val="left" w:pos="384"/>
        </w:tabs>
        <w:spacing w:line="216" w:lineRule="exact"/>
        <w:ind w:right="137"/>
        <w:rPr>
          <w:rFonts w:ascii="Tw Cen MT" w:hAnsi="Tw Cen MT"/>
          <w:sz w:val="20"/>
          <w:szCs w:val="20"/>
        </w:rPr>
      </w:pPr>
      <w:r w:rsidRPr="00C57CB6">
        <w:rPr>
          <w:rFonts w:ascii="Tw Cen MT" w:hAnsi="Tw Cen MT"/>
          <w:sz w:val="20"/>
          <w:szCs w:val="20"/>
        </w:rPr>
        <w:t>Huang Wei Ling, Energies Alterations and Chakras’ Energies Deficiencies in Patients with Chronic Constipation. J Gastro &amp; Digestive Systems. 2021;4(3):51-58.</w:t>
      </w:r>
    </w:p>
    <w:p w:rsidR="00C57CB6" w:rsidRPr="00C57CB6" w:rsidRDefault="00C57CB6" w:rsidP="00C57CB6">
      <w:pPr>
        <w:pStyle w:val="PargrafodaLista"/>
        <w:numPr>
          <w:ilvl w:val="0"/>
          <w:numId w:val="3"/>
        </w:numPr>
        <w:tabs>
          <w:tab w:val="left" w:pos="384"/>
        </w:tabs>
        <w:spacing w:line="216" w:lineRule="exact"/>
        <w:ind w:right="137"/>
        <w:rPr>
          <w:rFonts w:ascii="Tw Cen MT" w:hAnsi="Tw Cen MT"/>
          <w:sz w:val="20"/>
          <w:szCs w:val="20"/>
        </w:rPr>
      </w:pPr>
      <w:r w:rsidRPr="00C57CB6">
        <w:rPr>
          <w:rFonts w:ascii="Tw Cen MT" w:hAnsi="Tw Cen MT"/>
          <w:sz w:val="20"/>
          <w:szCs w:val="20"/>
        </w:rPr>
        <w:t>Huang Wei Ling, Energies Alterations and Chakras Energies Deficiencies in Patient with Crohn’s Disease. J Gastro &amp; Digestive Systems. 2021;4(3):44-50.</w:t>
      </w:r>
    </w:p>
    <w:p w:rsidR="00C57CB6" w:rsidRPr="00C57CB6" w:rsidRDefault="00C57CB6" w:rsidP="00C57CB6">
      <w:pPr>
        <w:pStyle w:val="PargrafodaLista"/>
        <w:numPr>
          <w:ilvl w:val="0"/>
          <w:numId w:val="3"/>
        </w:numPr>
        <w:tabs>
          <w:tab w:val="left" w:pos="384"/>
        </w:tabs>
        <w:spacing w:line="216" w:lineRule="exact"/>
        <w:ind w:right="137"/>
        <w:rPr>
          <w:rFonts w:ascii="Tw Cen MT" w:hAnsi="Tw Cen MT"/>
          <w:sz w:val="20"/>
          <w:szCs w:val="20"/>
        </w:rPr>
      </w:pPr>
      <w:r w:rsidRPr="00C57CB6">
        <w:rPr>
          <w:rFonts w:ascii="Tw Cen MT" w:hAnsi="Tw Cen MT"/>
          <w:sz w:val="20"/>
          <w:szCs w:val="20"/>
        </w:rPr>
        <w:t xml:space="preserve">Huang Wei Ling, </w:t>
      </w:r>
      <w:proofErr w:type="gramStart"/>
      <w:r w:rsidRPr="00C57CB6">
        <w:rPr>
          <w:rFonts w:ascii="Tw Cen MT" w:hAnsi="Tw Cen MT"/>
          <w:sz w:val="20"/>
          <w:szCs w:val="20"/>
        </w:rPr>
        <w:t>Is</w:t>
      </w:r>
      <w:proofErr w:type="gramEnd"/>
      <w:r w:rsidRPr="00C57CB6">
        <w:rPr>
          <w:rFonts w:ascii="Tw Cen MT" w:hAnsi="Tw Cen MT"/>
          <w:sz w:val="20"/>
          <w:szCs w:val="20"/>
        </w:rPr>
        <w:t xml:space="preserve"> it Possible to Treat Community and Nosocomial Bacterial Infections, Herpes Virus Infections, Dengue Virus, Fungus Infections and Leptospirosis with the Same Method and Without the Use of Any Drugs? Acta Scientific Microbiology. 2021;4(1):21-32.</w:t>
      </w:r>
    </w:p>
    <w:p w:rsidR="00C57CB6" w:rsidRPr="00C57CB6" w:rsidRDefault="00C57CB6" w:rsidP="00C57CB6">
      <w:pPr>
        <w:pStyle w:val="PargrafodaLista"/>
        <w:numPr>
          <w:ilvl w:val="0"/>
          <w:numId w:val="3"/>
        </w:numPr>
        <w:tabs>
          <w:tab w:val="left" w:pos="384"/>
        </w:tabs>
        <w:spacing w:line="216" w:lineRule="exact"/>
        <w:ind w:right="137"/>
        <w:rPr>
          <w:rFonts w:ascii="Tw Cen MT" w:hAnsi="Tw Cen MT"/>
          <w:sz w:val="20"/>
          <w:szCs w:val="20"/>
        </w:rPr>
      </w:pPr>
      <w:r w:rsidRPr="00C57CB6">
        <w:rPr>
          <w:rFonts w:ascii="Tw Cen MT" w:hAnsi="Tw Cen MT"/>
          <w:sz w:val="20"/>
          <w:szCs w:val="20"/>
        </w:rPr>
        <w:t>Huang Wei Ling, Chakras’ Energies Deficiencies as the Cause of Dyspnea Post COVID-19 Treatment. Journal of Infectious Diseases &amp; Case Reports. 2021;2(1):1-9.</w:t>
      </w:r>
    </w:p>
    <w:p w:rsidR="00AE3E37" w:rsidRPr="00C57CB6" w:rsidRDefault="00C57CB6" w:rsidP="00C57CB6">
      <w:pPr>
        <w:pStyle w:val="PargrafodaLista"/>
        <w:numPr>
          <w:ilvl w:val="0"/>
          <w:numId w:val="3"/>
        </w:numPr>
        <w:tabs>
          <w:tab w:val="left" w:pos="384"/>
        </w:tabs>
        <w:spacing w:line="216" w:lineRule="exact"/>
        <w:ind w:right="137"/>
        <w:rPr>
          <w:rFonts w:ascii="Tw Cen MT" w:hAnsi="Tw Cen MT"/>
          <w:sz w:val="20"/>
          <w:szCs w:val="20"/>
        </w:rPr>
        <w:sectPr w:rsidR="00AE3E37" w:rsidRPr="00C57CB6">
          <w:type w:val="continuous"/>
          <w:pgSz w:w="11910" w:h="16840"/>
          <w:pgMar w:top="1740" w:right="600" w:bottom="840" w:left="620" w:header="720" w:footer="720" w:gutter="0"/>
          <w:cols w:num="2" w:space="720" w:equalWidth="0">
            <w:col w:w="5214" w:space="138"/>
            <w:col w:w="5338"/>
          </w:cols>
        </w:sectPr>
      </w:pPr>
      <w:r w:rsidRPr="00C57CB6">
        <w:rPr>
          <w:rFonts w:ascii="Tw Cen MT" w:hAnsi="Tw Cen MT"/>
          <w:sz w:val="20"/>
          <w:szCs w:val="20"/>
        </w:rPr>
        <w:t>Huang Wei Ling, Chakras’ Energies Replenishment in the Treatment of Addiction in Marijuana. Journal of Psychiatry Research Reviews &amp; Reports. 2021;3(1):1-7.</w:t>
      </w:r>
      <w:r w:rsidR="008756E6" w:rsidRPr="00C57CB6">
        <w:rPr>
          <w:rFonts w:ascii="Tw Cen MT" w:hAnsi="Tw Cen MT"/>
          <w:sz w:val="20"/>
          <w:szCs w:val="20"/>
        </w:rPr>
        <w:t xml:space="preserve"> </w:t>
      </w:r>
    </w:p>
    <w:p w:rsidR="00AE3E37" w:rsidRDefault="00AE3E37">
      <w:pPr>
        <w:pStyle w:val="Corpodetexto"/>
        <w:rPr>
          <w:rFonts w:ascii="Calibri"/>
          <w:sz w:val="20"/>
        </w:rPr>
      </w:pPr>
    </w:p>
    <w:p w:rsidR="00AE3E37" w:rsidRDefault="00292ED9">
      <w:pPr>
        <w:pStyle w:val="Corpodetexto"/>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FDA223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C57CB6">
        <w:rPr>
          <w:noProof/>
        </w:rPr>
        <w:drawing>
          <wp:inline distT="0" distB="0" distL="0" distR="0" wp14:anchorId="34F7DA34">
            <wp:extent cx="1159041" cy="1000760"/>
            <wp:effectExtent l="0" t="0" r="3175" b="889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62085" cy="1003389"/>
                    </a:xfrm>
                    <a:prstGeom prst="rect">
                      <a:avLst/>
                    </a:prstGeom>
                    <a:noFill/>
                  </pic:spPr>
                </pic:pic>
              </a:graphicData>
            </a:graphic>
          </wp:inline>
        </w:drawing>
      </w:r>
      <w:r>
        <w:rPr>
          <w:noProof/>
        </w:rPr>
        <w:t xml:space="preserve">      </w:t>
      </w:r>
      <w:r w:rsidR="00A9710C">
        <w:rPr>
          <w:rFonts w:ascii="Arial"/>
          <w:color w:val="BF5A14"/>
        </w:rPr>
        <w:t>Biography</w:t>
      </w:r>
      <w:r w:rsidR="00C57CB6">
        <w:rPr>
          <w:rFonts w:ascii="Arial"/>
          <w:color w:val="BF5A14"/>
        </w:rPr>
        <w:t xml:space="preserve"> </w:t>
      </w:r>
    </w:p>
    <w:p w:rsidR="00AE3E37" w:rsidRPr="00431A05" w:rsidRDefault="00C57CB6" w:rsidP="00431A05">
      <w:pPr>
        <w:spacing w:before="41" w:line="154" w:lineRule="exact"/>
        <w:ind w:left="213" w:right="231"/>
        <w:jc w:val="both"/>
        <w:rPr>
          <w:rFonts w:ascii="Arial"/>
          <w:sz w:val="14"/>
        </w:rPr>
      </w:pPr>
      <w:r w:rsidRPr="00C57CB6">
        <w:rPr>
          <w:rFonts w:ascii="Arial"/>
          <w:sz w:val="14"/>
        </w:rPr>
        <w:t>Huang Wei Ling</w:t>
      </w:r>
      <w:r w:rsidR="00431A05">
        <w:rPr>
          <w:rFonts w:ascii="Arial"/>
          <w:sz w:val="14"/>
        </w:rPr>
        <w:t xml:space="preserve">, </w:t>
      </w:r>
      <w:r w:rsidR="00431A05" w:rsidRPr="00431A05">
        <w:rPr>
          <w:rFonts w:ascii="Arial"/>
          <w:sz w:val="14"/>
        </w:rPr>
        <w:t>born in Taiwan, raised and graduated in medicine in Brazil, specialist in infectious and parasitic diseases, a General Practitioner and Parenteral and Enteral Medical Nutrition Therapist. Once in charge of the Hospital Infection Control Service of the City of Franca</w:t>
      </w:r>
      <w:r w:rsidR="00431A05" w:rsidRPr="00431A05">
        <w:rPr>
          <w:rFonts w:ascii="Arial"/>
          <w:sz w:val="14"/>
        </w:rPr>
        <w:t>’</w:t>
      </w:r>
      <w:r w:rsidR="00431A05" w:rsidRPr="00431A05">
        <w:rPr>
          <w:rFonts w:ascii="Arial"/>
          <w:sz w:val="14"/>
        </w:rPr>
        <w:t>s General Hospital, she was responsible for the control of all prescribed antimicrobial medication and received an award for the best paper presented at the Brazilian Hospital Infection Control Congress in 1998. Since 1997, she works with the approach and treatment of all chronic diseases in a holistic way, with treatment guided through the teachings of Traditional Chinese Medicine and Hippocrates. Researcher in the University of S</w:t>
      </w:r>
      <w:r w:rsidR="00431A05" w:rsidRPr="00431A05">
        <w:rPr>
          <w:rFonts w:ascii="Arial"/>
          <w:sz w:val="14"/>
        </w:rPr>
        <w:t>ã</w:t>
      </w:r>
      <w:r w:rsidR="00431A05" w:rsidRPr="00431A05">
        <w:rPr>
          <w:rFonts w:ascii="Arial"/>
          <w:sz w:val="14"/>
        </w:rPr>
        <w:t>o Paulo, in the Ophthalmology department from 2012 to 2013.Author of the theory Constitutional Homeopathy of the Five Elements Based on Traditional Chinese Medicine. Author of more than 40 publications about treatment of variety of diseases rebalancing the internal energy using Hippocrates thoughts.</w:t>
      </w:r>
    </w:p>
    <w:p w:rsidR="00AE3E37" w:rsidRDefault="00A9710C">
      <w:pPr>
        <w:spacing w:before="62"/>
        <w:ind w:left="4217" w:right="4235"/>
        <w:jc w:val="center"/>
        <w:rPr>
          <w:rFonts w:ascii="Arial"/>
          <w:sz w:val="14"/>
        </w:rPr>
      </w:pPr>
      <w:bookmarkStart w:id="0" w:name="_GoBack"/>
      <w:bookmarkEnd w:id="0"/>
      <w:r>
        <w:rPr>
          <w:rFonts w:ascii="Arial"/>
          <w:sz w:val="14"/>
        </w:rPr>
        <w:t xml:space="preserve">Email: </w:t>
      </w:r>
      <w:hyperlink r:id="rId10" w:history="1">
        <w:r w:rsidR="00C57CB6" w:rsidRPr="000541A3">
          <w:rPr>
            <w:rStyle w:val="Hyperlink"/>
            <w:rFonts w:ascii="Arial"/>
            <w:sz w:val="14"/>
          </w:rPr>
          <w:t>weilingmg@gmail.com</w:t>
        </w:r>
      </w:hyperlink>
    </w:p>
    <w:p w:rsidR="00C57CB6" w:rsidRDefault="00C57CB6">
      <w:pPr>
        <w:spacing w:before="62"/>
        <w:ind w:left="4217" w:right="4235"/>
        <w:jc w:val="center"/>
        <w:rPr>
          <w:rFonts w:ascii="Arial"/>
          <w:sz w:val="14"/>
        </w:rPr>
      </w:pPr>
    </w:p>
    <w:p w:rsidR="00AE3E37" w:rsidRDefault="00292ED9">
      <w:pPr>
        <w:pStyle w:val="Corpodetexto"/>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EAEC8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odetexto"/>
        <w:rPr>
          <w:rFonts w:ascii="Arial"/>
          <w:sz w:val="20"/>
        </w:rPr>
      </w:pPr>
    </w:p>
    <w:p w:rsidR="00AE3E37" w:rsidRDefault="00AE3E37">
      <w:pPr>
        <w:pStyle w:val="Corpodetexto"/>
        <w:rPr>
          <w:rFonts w:ascii="Arial"/>
          <w:sz w:val="20"/>
        </w:rPr>
      </w:pPr>
    </w:p>
    <w:p w:rsidR="00AE3E37" w:rsidRDefault="00AE3E37">
      <w:pPr>
        <w:pStyle w:val="Corpodetexto"/>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37C8" w:rsidRDefault="00C437C8">
      <w:r>
        <w:separator/>
      </w:r>
    </w:p>
  </w:endnote>
  <w:endnote w:type="continuationSeparator" w:id="0">
    <w:p w:rsidR="00C437C8" w:rsidRDefault="00C437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odetexto"/>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37C8" w:rsidRDefault="00C437C8">
      <w:r>
        <w:separator/>
      </w:r>
    </w:p>
  </w:footnote>
  <w:footnote w:type="continuationSeparator" w:id="0">
    <w:p w:rsidR="00C437C8" w:rsidRDefault="00C437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odetexto"/>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41647"/>
    <w:rsid w:val="002313CD"/>
    <w:rsid w:val="002455EC"/>
    <w:rsid w:val="00292ED9"/>
    <w:rsid w:val="00404E5B"/>
    <w:rsid w:val="00414F7B"/>
    <w:rsid w:val="00431A05"/>
    <w:rsid w:val="004355DC"/>
    <w:rsid w:val="004749B4"/>
    <w:rsid w:val="00494130"/>
    <w:rsid w:val="004946B5"/>
    <w:rsid w:val="004F3523"/>
    <w:rsid w:val="005973B9"/>
    <w:rsid w:val="005B3A56"/>
    <w:rsid w:val="005F5BE6"/>
    <w:rsid w:val="006060CE"/>
    <w:rsid w:val="0063497F"/>
    <w:rsid w:val="007B2674"/>
    <w:rsid w:val="00873DF0"/>
    <w:rsid w:val="008756E6"/>
    <w:rsid w:val="008A08B6"/>
    <w:rsid w:val="009B2D44"/>
    <w:rsid w:val="00A07E82"/>
    <w:rsid w:val="00A9710C"/>
    <w:rsid w:val="00AE3E37"/>
    <w:rsid w:val="00B21A57"/>
    <w:rsid w:val="00C33602"/>
    <w:rsid w:val="00C437C8"/>
    <w:rsid w:val="00C57CB6"/>
    <w:rsid w:val="00C744B9"/>
    <w:rsid w:val="00CD6F55"/>
    <w:rsid w:val="00DE3104"/>
    <w:rsid w:val="00E26B10"/>
    <w:rsid w:val="00F1102A"/>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20133D"/>
  <w15:docId w15:val="{6F772823-3B94-4D62-B395-4906193C2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weilingmg@gmail.com" TargetMode="Externa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612</Words>
  <Characters>3494</Characters>
  <Application>Microsoft Office Word</Application>
  <DocSecurity>0</DocSecurity>
  <Lines>29</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2021-05-16T12:51:00Z</dcterms:created>
  <dcterms:modified xsi:type="dcterms:W3CDTF">2021-05-16T12:51:00Z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