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2C" w:rsidRDefault="005F734B" w:rsidP="00162E1E">
      <w:pPr>
        <w:bidi w:val="0"/>
        <w:rPr>
          <w:sz w:val="44"/>
          <w:szCs w:val="44"/>
        </w:rPr>
      </w:pPr>
      <w:r w:rsidRPr="005F734B">
        <w:rPr>
          <w:sz w:val="44"/>
          <w:szCs w:val="44"/>
        </w:rPr>
        <w:t xml:space="preserve">Peritonitis in children on peritoneal dialysis, 10 years of tertiary center experience </w:t>
      </w:r>
    </w:p>
    <w:p w:rsidR="00EE732C" w:rsidRPr="00162E1E" w:rsidRDefault="00EE732C" w:rsidP="002C4767">
      <w:pPr>
        <w:tabs>
          <w:tab w:val="left" w:pos="1380"/>
        </w:tabs>
        <w:bidi w:val="0"/>
        <w:rPr>
          <w:b/>
          <w:bCs/>
          <w:sz w:val="24"/>
          <w:szCs w:val="24"/>
        </w:rPr>
      </w:pPr>
      <w:r w:rsidRPr="00162E1E">
        <w:rPr>
          <w:b/>
          <w:bCs/>
          <w:sz w:val="24"/>
          <w:szCs w:val="24"/>
        </w:rPr>
        <w:t>Background</w:t>
      </w:r>
      <w:r w:rsidRPr="00162E1E">
        <w:rPr>
          <w:rFonts w:cs="Arial"/>
          <w:b/>
          <w:bCs/>
          <w:sz w:val="24"/>
          <w:szCs w:val="24"/>
          <w:rtl/>
        </w:rPr>
        <w:t>:</w:t>
      </w:r>
    </w:p>
    <w:p w:rsidR="00EE732C" w:rsidRPr="00162E1E" w:rsidRDefault="00EE732C" w:rsidP="00EE732C">
      <w:pPr>
        <w:tabs>
          <w:tab w:val="left" w:pos="1380"/>
        </w:tabs>
        <w:bidi w:val="0"/>
        <w:rPr>
          <w:sz w:val="24"/>
          <w:szCs w:val="24"/>
        </w:rPr>
      </w:pPr>
      <w:r w:rsidRPr="00162E1E">
        <w:rPr>
          <w:sz w:val="24"/>
          <w:szCs w:val="24"/>
        </w:rPr>
        <w:t>Peritoneal dialysis (PD) constitutes the preferred dialysis modality for children requiring renal replacement therapy with peritonitis being one of the most common complications of PD</w:t>
      </w:r>
      <w:r w:rsidRPr="00162E1E">
        <w:rPr>
          <w:rFonts w:cs="Arial"/>
          <w:sz w:val="24"/>
          <w:szCs w:val="24"/>
          <w:rtl/>
        </w:rPr>
        <w:t>.</w:t>
      </w:r>
    </w:p>
    <w:p w:rsidR="00EE732C" w:rsidRPr="00162E1E" w:rsidRDefault="00EE732C" w:rsidP="00EE732C">
      <w:pPr>
        <w:tabs>
          <w:tab w:val="left" w:pos="1380"/>
        </w:tabs>
        <w:bidi w:val="0"/>
        <w:rPr>
          <w:b/>
          <w:bCs/>
          <w:sz w:val="24"/>
          <w:szCs w:val="24"/>
        </w:rPr>
      </w:pPr>
      <w:r w:rsidRPr="00162E1E">
        <w:rPr>
          <w:b/>
          <w:bCs/>
          <w:sz w:val="24"/>
          <w:szCs w:val="24"/>
        </w:rPr>
        <w:t>Objectives</w:t>
      </w:r>
      <w:r w:rsidRPr="00162E1E">
        <w:rPr>
          <w:rFonts w:cs="Arial"/>
          <w:b/>
          <w:bCs/>
          <w:sz w:val="24"/>
          <w:szCs w:val="24"/>
          <w:rtl/>
        </w:rPr>
        <w:t xml:space="preserve">: </w:t>
      </w:r>
    </w:p>
    <w:p w:rsidR="00EE732C" w:rsidRPr="00162E1E" w:rsidRDefault="00EE732C" w:rsidP="00244192">
      <w:pPr>
        <w:tabs>
          <w:tab w:val="left" w:pos="1380"/>
        </w:tabs>
        <w:bidi w:val="0"/>
        <w:rPr>
          <w:sz w:val="24"/>
          <w:szCs w:val="24"/>
        </w:rPr>
      </w:pPr>
      <w:r w:rsidRPr="00162E1E">
        <w:rPr>
          <w:sz w:val="24"/>
          <w:szCs w:val="24"/>
        </w:rPr>
        <w:t>The purpose of this study is to assess the rate, related microbiology, and outcome of peritoneal dialysis-associated peritonitis in pediatrics. These data will be beneficial to establish regional treatment guidelines</w:t>
      </w:r>
      <w:r w:rsidRPr="00162E1E">
        <w:rPr>
          <w:rFonts w:cs="Arial"/>
          <w:sz w:val="24"/>
          <w:szCs w:val="24"/>
          <w:rtl/>
        </w:rPr>
        <w:t xml:space="preserve">. </w:t>
      </w:r>
    </w:p>
    <w:p w:rsidR="00EE732C" w:rsidRPr="00162E1E" w:rsidRDefault="00EE732C" w:rsidP="00EE732C">
      <w:pPr>
        <w:tabs>
          <w:tab w:val="left" w:pos="1380"/>
        </w:tabs>
        <w:bidi w:val="0"/>
        <w:rPr>
          <w:b/>
          <w:bCs/>
          <w:sz w:val="24"/>
          <w:szCs w:val="24"/>
        </w:rPr>
      </w:pPr>
      <w:r w:rsidRPr="00162E1E">
        <w:rPr>
          <w:b/>
          <w:bCs/>
          <w:sz w:val="24"/>
          <w:szCs w:val="24"/>
        </w:rPr>
        <w:t>Methods</w:t>
      </w:r>
      <w:r w:rsidRPr="00162E1E">
        <w:rPr>
          <w:rFonts w:cs="Arial"/>
          <w:b/>
          <w:bCs/>
          <w:sz w:val="24"/>
          <w:szCs w:val="24"/>
          <w:rtl/>
        </w:rPr>
        <w:t xml:space="preserve">: </w:t>
      </w:r>
    </w:p>
    <w:p w:rsidR="00EE732C" w:rsidRPr="00162E1E" w:rsidRDefault="00EE732C" w:rsidP="00EE732C">
      <w:pPr>
        <w:tabs>
          <w:tab w:val="left" w:pos="1380"/>
        </w:tabs>
        <w:bidi w:val="0"/>
        <w:rPr>
          <w:sz w:val="24"/>
          <w:szCs w:val="24"/>
        </w:rPr>
      </w:pPr>
      <w:r w:rsidRPr="00162E1E">
        <w:rPr>
          <w:sz w:val="24"/>
          <w:szCs w:val="24"/>
        </w:rPr>
        <w:t>We retrospectively collected and analyzed the data from medical records of 118 children on PD during the period from 2008 to 2017 in King Fahad Medical City. A total of</w:t>
      </w:r>
      <w:r w:rsidR="003F49E4" w:rsidRPr="00162E1E">
        <w:rPr>
          <w:sz w:val="24"/>
          <w:szCs w:val="24"/>
        </w:rPr>
        <w:t xml:space="preserve"> </w:t>
      </w:r>
      <w:r w:rsidRPr="00162E1E">
        <w:rPr>
          <w:sz w:val="24"/>
          <w:szCs w:val="24"/>
        </w:rPr>
        <w:t>118 child received automated peritoneal dialysis (APD) for a total of 2838 month.  Data were collected regarding the demographic characteristics of patients, peritonitis rate, and clinical outcome</w:t>
      </w:r>
      <w:r w:rsidRPr="00162E1E">
        <w:rPr>
          <w:rFonts w:cs="Arial"/>
          <w:sz w:val="24"/>
          <w:szCs w:val="24"/>
          <w:rtl/>
        </w:rPr>
        <w:t>.</w:t>
      </w:r>
    </w:p>
    <w:p w:rsidR="003F49E4" w:rsidRPr="00162E1E" w:rsidRDefault="003F49E4" w:rsidP="003F49E4">
      <w:pPr>
        <w:tabs>
          <w:tab w:val="left" w:pos="1380"/>
        </w:tabs>
        <w:bidi w:val="0"/>
        <w:rPr>
          <w:b/>
          <w:bCs/>
          <w:sz w:val="24"/>
          <w:szCs w:val="24"/>
        </w:rPr>
      </w:pPr>
    </w:p>
    <w:p w:rsidR="00EE732C" w:rsidRPr="00162E1E" w:rsidRDefault="00EE732C" w:rsidP="003F49E4">
      <w:pPr>
        <w:tabs>
          <w:tab w:val="left" w:pos="1380"/>
        </w:tabs>
        <w:bidi w:val="0"/>
        <w:rPr>
          <w:b/>
          <w:bCs/>
          <w:sz w:val="24"/>
          <w:szCs w:val="24"/>
        </w:rPr>
      </w:pPr>
      <w:r w:rsidRPr="00162E1E">
        <w:rPr>
          <w:b/>
          <w:bCs/>
          <w:sz w:val="24"/>
          <w:szCs w:val="24"/>
        </w:rPr>
        <w:t>Result</w:t>
      </w:r>
      <w:r w:rsidRPr="00162E1E">
        <w:rPr>
          <w:rFonts w:cs="Arial"/>
          <w:b/>
          <w:bCs/>
          <w:sz w:val="24"/>
          <w:szCs w:val="24"/>
          <w:rtl/>
        </w:rPr>
        <w:t>:</w:t>
      </w:r>
    </w:p>
    <w:p w:rsidR="00EE732C" w:rsidRPr="00162E1E" w:rsidRDefault="00EE732C" w:rsidP="00244192">
      <w:pPr>
        <w:tabs>
          <w:tab w:val="left" w:pos="1380"/>
        </w:tabs>
        <w:bidi w:val="0"/>
        <w:rPr>
          <w:sz w:val="24"/>
          <w:szCs w:val="24"/>
        </w:rPr>
      </w:pPr>
      <w:r w:rsidRPr="00162E1E">
        <w:rPr>
          <w:sz w:val="24"/>
          <w:szCs w:val="24"/>
        </w:rPr>
        <w:t>A 62 (52.5%) of patients were b</w:t>
      </w:r>
      <w:r w:rsidR="003F49E4" w:rsidRPr="00162E1E">
        <w:rPr>
          <w:sz w:val="24"/>
          <w:szCs w:val="24"/>
        </w:rPr>
        <w:t>oys while 56 (47.5%) were girls</w:t>
      </w:r>
      <w:r w:rsidRPr="00162E1E">
        <w:rPr>
          <w:sz w:val="24"/>
          <w:szCs w:val="24"/>
        </w:rPr>
        <w:t>. More children were in the age group of 6 – 12 years’ old (44.9%). 74.6% of them were new to dialysis, 25.4 % were transferred from hemodialysis</w:t>
      </w:r>
      <w:bookmarkStart w:id="0" w:name="_GoBack"/>
      <w:bookmarkEnd w:id="0"/>
      <w:r w:rsidRPr="00162E1E">
        <w:rPr>
          <w:sz w:val="24"/>
          <w:szCs w:val="24"/>
        </w:rPr>
        <w:t>. The overall incidence of peritonitis was 0.</w:t>
      </w:r>
      <w:r w:rsidR="00244192">
        <w:rPr>
          <w:sz w:val="24"/>
          <w:szCs w:val="24"/>
        </w:rPr>
        <w:t>6</w:t>
      </w:r>
      <w:r w:rsidRPr="00162E1E">
        <w:rPr>
          <w:sz w:val="24"/>
          <w:szCs w:val="24"/>
        </w:rPr>
        <w:t xml:space="preserve"> episodes/patient-year. Gram-positive organisms were cultured in (51.6 %), Gram-negative organisms were cultured in (23 %), and cultures remained negative in (17.1%) of the episodes. Coagulase-negative Staphylococcus was the most comm</w:t>
      </w:r>
      <w:r w:rsidR="003F49E4" w:rsidRPr="00162E1E">
        <w:rPr>
          <w:sz w:val="24"/>
          <w:szCs w:val="24"/>
        </w:rPr>
        <w:t>only isolated organisms (19.4%)</w:t>
      </w:r>
      <w:r w:rsidRPr="00162E1E">
        <w:rPr>
          <w:sz w:val="24"/>
          <w:szCs w:val="24"/>
        </w:rPr>
        <w:t xml:space="preserve">.  </w:t>
      </w:r>
      <w:r w:rsidR="00244192" w:rsidRPr="00244192">
        <w:rPr>
          <w:sz w:val="24"/>
          <w:szCs w:val="24"/>
        </w:rPr>
        <w:t>Peritonitis was resolved in 73.9%</w:t>
      </w:r>
      <w:r w:rsidR="00244192">
        <w:rPr>
          <w:sz w:val="24"/>
          <w:szCs w:val="24"/>
        </w:rPr>
        <w:t xml:space="preserve"> episodes, while 24.8% episodes </w:t>
      </w:r>
      <w:r w:rsidR="00244192" w:rsidRPr="00244192">
        <w:rPr>
          <w:sz w:val="24"/>
          <w:szCs w:val="24"/>
        </w:rPr>
        <w:t>have undergone Catheter removal, and 1.4 % end by death</w:t>
      </w:r>
      <w:r w:rsidR="00244192">
        <w:rPr>
          <w:sz w:val="24"/>
          <w:szCs w:val="24"/>
        </w:rPr>
        <w:t>.</w:t>
      </w:r>
    </w:p>
    <w:p w:rsidR="00EE732C" w:rsidRPr="00162E1E" w:rsidRDefault="00EE732C" w:rsidP="00EE732C">
      <w:pPr>
        <w:tabs>
          <w:tab w:val="left" w:pos="1380"/>
        </w:tabs>
        <w:bidi w:val="0"/>
        <w:rPr>
          <w:b/>
          <w:bCs/>
          <w:sz w:val="24"/>
          <w:szCs w:val="24"/>
        </w:rPr>
      </w:pPr>
      <w:r w:rsidRPr="00162E1E">
        <w:rPr>
          <w:b/>
          <w:bCs/>
          <w:sz w:val="24"/>
          <w:szCs w:val="24"/>
        </w:rPr>
        <w:t>Conclusion</w:t>
      </w:r>
      <w:r w:rsidRPr="00162E1E">
        <w:rPr>
          <w:rFonts w:cs="Arial"/>
          <w:b/>
          <w:bCs/>
          <w:sz w:val="24"/>
          <w:szCs w:val="24"/>
          <w:rtl/>
        </w:rPr>
        <w:t xml:space="preserve">: </w:t>
      </w:r>
    </w:p>
    <w:p w:rsidR="004A67B9" w:rsidRPr="00162E1E" w:rsidRDefault="00EE732C" w:rsidP="00EE732C">
      <w:pPr>
        <w:tabs>
          <w:tab w:val="left" w:pos="1380"/>
        </w:tabs>
        <w:bidi w:val="0"/>
        <w:rPr>
          <w:sz w:val="24"/>
          <w:szCs w:val="24"/>
        </w:rPr>
      </w:pPr>
      <w:r w:rsidRPr="00162E1E">
        <w:rPr>
          <w:sz w:val="24"/>
          <w:szCs w:val="24"/>
        </w:rPr>
        <w:t>Our data was similar to what was reported in the previous international registry in related to common organisms. However, a noticeable high peritonitis rate in our study. Further studies need to be done to identify the risk factors in our populations.</w:t>
      </w:r>
    </w:p>
    <w:sectPr w:rsidR="004A67B9" w:rsidRPr="00162E1E" w:rsidSect="000C40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C5E"/>
    <w:rsid w:val="000110A4"/>
    <w:rsid w:val="00041F48"/>
    <w:rsid w:val="00083AEB"/>
    <w:rsid w:val="000C40BB"/>
    <w:rsid w:val="00162E1E"/>
    <w:rsid w:val="001B780A"/>
    <w:rsid w:val="001D3AE7"/>
    <w:rsid w:val="00230949"/>
    <w:rsid w:val="00244192"/>
    <w:rsid w:val="00280E7E"/>
    <w:rsid w:val="002A65E7"/>
    <w:rsid w:val="002C4767"/>
    <w:rsid w:val="002D5251"/>
    <w:rsid w:val="003040A9"/>
    <w:rsid w:val="0035341F"/>
    <w:rsid w:val="00361C99"/>
    <w:rsid w:val="003B496F"/>
    <w:rsid w:val="003E62C6"/>
    <w:rsid w:val="003F49E4"/>
    <w:rsid w:val="00406B9E"/>
    <w:rsid w:val="00454D3C"/>
    <w:rsid w:val="00456D89"/>
    <w:rsid w:val="00481F4B"/>
    <w:rsid w:val="0048748C"/>
    <w:rsid w:val="004A67B9"/>
    <w:rsid w:val="004C60FB"/>
    <w:rsid w:val="00542236"/>
    <w:rsid w:val="0056209D"/>
    <w:rsid w:val="00571C93"/>
    <w:rsid w:val="005D145C"/>
    <w:rsid w:val="005D4222"/>
    <w:rsid w:val="005D4590"/>
    <w:rsid w:val="005D509E"/>
    <w:rsid w:val="005F734B"/>
    <w:rsid w:val="0063395D"/>
    <w:rsid w:val="00650545"/>
    <w:rsid w:val="00673266"/>
    <w:rsid w:val="006C0FC8"/>
    <w:rsid w:val="006C2BF6"/>
    <w:rsid w:val="006E316A"/>
    <w:rsid w:val="007459BD"/>
    <w:rsid w:val="00774ECE"/>
    <w:rsid w:val="007B5506"/>
    <w:rsid w:val="007C6CAF"/>
    <w:rsid w:val="007C765E"/>
    <w:rsid w:val="007E0E29"/>
    <w:rsid w:val="00854BFC"/>
    <w:rsid w:val="00881AEA"/>
    <w:rsid w:val="008E0EB3"/>
    <w:rsid w:val="008E52DD"/>
    <w:rsid w:val="009B304B"/>
    <w:rsid w:val="009B790B"/>
    <w:rsid w:val="009E04BB"/>
    <w:rsid w:val="00A05189"/>
    <w:rsid w:val="00A350D6"/>
    <w:rsid w:val="00A52EBF"/>
    <w:rsid w:val="00A65C72"/>
    <w:rsid w:val="00A66976"/>
    <w:rsid w:val="00A86B01"/>
    <w:rsid w:val="00A86B49"/>
    <w:rsid w:val="00A96299"/>
    <w:rsid w:val="00AB455E"/>
    <w:rsid w:val="00AF3513"/>
    <w:rsid w:val="00B23C7A"/>
    <w:rsid w:val="00B665E5"/>
    <w:rsid w:val="00B7097F"/>
    <w:rsid w:val="00B9356D"/>
    <w:rsid w:val="00C2677B"/>
    <w:rsid w:val="00C76BBD"/>
    <w:rsid w:val="00CD20B2"/>
    <w:rsid w:val="00CD5397"/>
    <w:rsid w:val="00CE23E6"/>
    <w:rsid w:val="00D56166"/>
    <w:rsid w:val="00D565DC"/>
    <w:rsid w:val="00D66258"/>
    <w:rsid w:val="00DE5321"/>
    <w:rsid w:val="00E279A3"/>
    <w:rsid w:val="00E71472"/>
    <w:rsid w:val="00E75966"/>
    <w:rsid w:val="00E97355"/>
    <w:rsid w:val="00EE732C"/>
    <w:rsid w:val="00F51588"/>
    <w:rsid w:val="00F56B0D"/>
    <w:rsid w:val="00FC79B9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334C5"/>
  <w15:chartTrackingRefBased/>
  <w15:docId w15:val="{F975B14F-AB65-49BA-90CD-62022800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397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2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D9C29-738B-463A-9985-E2DB6D9D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‏‏مستخدم Windows</dc:creator>
  <cp:keywords/>
  <dc:description/>
  <cp:lastModifiedBy>Saeed Mohammed AlZabli</cp:lastModifiedBy>
  <cp:revision>2</cp:revision>
  <dcterms:created xsi:type="dcterms:W3CDTF">2018-12-04T11:33:00Z</dcterms:created>
  <dcterms:modified xsi:type="dcterms:W3CDTF">2018-12-04T11:33:00Z</dcterms:modified>
</cp:coreProperties>
</file>