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8A5" w:rsidRDefault="005958A5" w:rsidP="005958A5">
      <w:r w:rsidRPr="005958A5">
        <w:rPr>
          <w:b/>
          <w:bCs/>
        </w:rPr>
        <w:t>Abstract</w:t>
      </w:r>
    </w:p>
    <w:p w:rsidR="005958A5" w:rsidRPr="005958A5" w:rsidRDefault="005958A5" w:rsidP="005958A5">
      <w:r>
        <w:t xml:space="preserve"> </w:t>
      </w:r>
      <w:r w:rsidRPr="005958A5">
        <w:t xml:space="preserve">L’insuffisances  rénale aigue représente un challenge diagnostique car elle constitue le terme évolutif de  mécanismes </w:t>
      </w:r>
      <w:proofErr w:type="spellStart"/>
      <w:r w:rsidRPr="005958A5">
        <w:t>etiopathogeniques</w:t>
      </w:r>
      <w:proofErr w:type="spellEnd"/>
      <w:r w:rsidRPr="005958A5">
        <w:t xml:space="preserve"> différents, parfois intriques. Elle peut survenir au cours d’états </w:t>
      </w:r>
    </w:p>
    <w:p w:rsidR="005958A5" w:rsidRPr="005958A5" w:rsidRDefault="005958A5" w:rsidP="005958A5">
      <w:proofErr w:type="spellStart"/>
      <w:proofErr w:type="gramStart"/>
      <w:r w:rsidRPr="005958A5">
        <w:t>clinicopathologiques</w:t>
      </w:r>
      <w:proofErr w:type="spellEnd"/>
      <w:proofErr w:type="gramEnd"/>
      <w:r w:rsidRPr="005958A5">
        <w:t xml:space="preserve"> très divers. Ce syndrome est fréquent et associé de façon indépendante à une augmentation de la morbidité, la mortalité et des couts de santé.</w:t>
      </w:r>
    </w:p>
    <w:p w:rsidR="005958A5" w:rsidRPr="005958A5" w:rsidRDefault="005958A5" w:rsidP="005958A5">
      <w:r w:rsidRPr="005958A5">
        <w:t xml:space="preserve"> Il  </w:t>
      </w:r>
      <w:proofErr w:type="gramStart"/>
      <w:r w:rsidRPr="005958A5">
        <w:t>s’ agit</w:t>
      </w:r>
      <w:proofErr w:type="gramEnd"/>
      <w:r w:rsidRPr="005958A5">
        <w:t xml:space="preserve"> de 579 cas ( 309 hommes et 270 femmes ) , vus par le néphrologue  entre Novembre 2015 et Février 2017 . L’</w:t>
      </w:r>
      <w:proofErr w:type="spellStart"/>
      <w:r w:rsidRPr="005958A5">
        <w:t>age</w:t>
      </w:r>
      <w:proofErr w:type="spellEnd"/>
      <w:r w:rsidRPr="005958A5">
        <w:t xml:space="preserve"> Moyen   de la population était de  64.9 ± 17.58   avec des extrêmes  de  5 – 104 ans .Le sujet âgé représente  44.7% de la population .Une  néoplasie connue et suivie était présente chez 85  patients soit 14,8%</w:t>
      </w:r>
    </w:p>
    <w:p w:rsidR="005958A5" w:rsidRPr="005958A5" w:rsidRDefault="005958A5" w:rsidP="005958A5">
      <w:r w:rsidRPr="005958A5">
        <w:t xml:space="preserve">A l’admission l’état de conscience était conservée dans 72  % des </w:t>
      </w:r>
      <w:proofErr w:type="gramStart"/>
      <w:r w:rsidRPr="005958A5">
        <w:t>cas ,Une</w:t>
      </w:r>
      <w:proofErr w:type="gramEnd"/>
      <w:r w:rsidRPr="005958A5">
        <w:t xml:space="preserve"> obnubilation  dans  9,7 % , un  état comateux dans  15,4   % .  L’état  d’hydratation  correspondait à une Déshydratation chez   41,6%  et une hyperhydratation dans 16,4% des cas .Une anurie  est certaine dans 16,7%  des cas .Selon la classification AKIN Il  s’agissait d’AKIN 1 (25%),AKIN 2 (  32%),AKIN 3 ( 43%) .L’insuffisance rénale est fonctionnelle ( 62,8%) , Organique (29%),obstructive (8,2%)des cas .La  nécrose tubulaire aigue représente la </w:t>
      </w:r>
      <w:proofErr w:type="spellStart"/>
      <w:r w:rsidRPr="005958A5">
        <w:t>quasitotalité</w:t>
      </w:r>
      <w:proofErr w:type="spellEnd"/>
      <w:r w:rsidRPr="005958A5">
        <w:t xml:space="preserve">  des  insuffisances rénales aigues  organiques 143/579 soit  24,3%  avec diverses étiologies : état de choc ( </w:t>
      </w:r>
      <w:proofErr w:type="spellStart"/>
      <w:r w:rsidRPr="005958A5">
        <w:t>hypovolémique</w:t>
      </w:r>
      <w:proofErr w:type="spellEnd"/>
      <w:r w:rsidRPr="005958A5">
        <w:t xml:space="preserve"> ( 33%  ) , </w:t>
      </w:r>
      <w:proofErr w:type="spellStart"/>
      <w:r w:rsidRPr="005958A5">
        <w:t>cardiogénique</w:t>
      </w:r>
      <w:proofErr w:type="spellEnd"/>
      <w:r w:rsidRPr="005958A5">
        <w:t xml:space="preserve"> ( 28% ) , septique (23,3%) ) ,  </w:t>
      </w:r>
      <w:proofErr w:type="spellStart"/>
      <w:r w:rsidRPr="005958A5">
        <w:t>sepsis</w:t>
      </w:r>
      <w:proofErr w:type="spellEnd"/>
      <w:r w:rsidRPr="005958A5">
        <w:t xml:space="preserve"> sévère ( 14,1%) , </w:t>
      </w:r>
      <w:proofErr w:type="spellStart"/>
      <w:r w:rsidRPr="005958A5">
        <w:t>néphrotoxicité</w:t>
      </w:r>
      <w:proofErr w:type="spellEnd"/>
      <w:r w:rsidRPr="005958A5">
        <w:t xml:space="preserve"> médicamenteuse  ( 44%) ,lyse  cellulaire (2,5%).Le recours à l’épuration extra rénale était nécessaire chez 92/579 .La  récupération  de la fonction rénale    était  totale dans  seulement  26,4% des  cas   ,partielle dans 11,5% . Le taux de décès était important  30,5 %  de la population </w:t>
      </w:r>
    </w:p>
    <w:p w:rsidR="00A56969" w:rsidRDefault="00A56969"/>
    <w:sectPr w:rsidR="00A56969" w:rsidSect="00A56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hyphenationZone w:val="425"/>
  <w:characterSpacingControl w:val="doNotCompress"/>
  <w:compat/>
  <w:rsids>
    <w:rsidRoot w:val="005958A5"/>
    <w:rsid w:val="00284FBC"/>
    <w:rsid w:val="005958A5"/>
    <w:rsid w:val="00A5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969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4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2018-02-11T00:38:00Z</dcterms:created>
  <dcterms:modified xsi:type="dcterms:W3CDTF">2018-02-11T00:40:00Z</dcterms:modified>
</cp:coreProperties>
</file>