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924" w:rsidRPr="004B6924" w:rsidRDefault="004B6924" w:rsidP="004B6924">
      <w:pPr>
        <w:pStyle w:val="Corpsdetexte"/>
        <w:spacing w:before="73" w:line="198" w:lineRule="exact"/>
        <w:ind w:left="100" w:right="58"/>
        <w:rPr>
          <w:rFonts w:ascii="Arial"/>
        </w:rPr>
      </w:pPr>
      <w:r w:rsidRPr="004B6924">
        <w:rPr>
          <w:rFonts w:ascii="Minion Pro" w:eastAsia="Minion Pro" w:hAnsi="Minion Pro" w:cs="Minion Pro"/>
          <w:b/>
          <w:bCs/>
          <w:color w:val="337AB7"/>
          <w:sz w:val="36"/>
          <w:szCs w:val="36"/>
          <w:lang w:val="it-IT"/>
        </w:rPr>
        <w:t xml:space="preserve">Animal toxins for human health, case of the Mambaquaretin for the treatment of polycystic kidney diseases. </w:t>
      </w:r>
      <w:r w:rsidRPr="004B6924">
        <w:rPr>
          <w:rFonts w:ascii="Minion Pro" w:eastAsia="Minion Pro" w:hAnsi="Minion Pro" w:cs="Minion Pro"/>
          <w:b/>
          <w:bCs/>
          <w:color w:val="337AB7"/>
          <w:sz w:val="36"/>
          <w:szCs w:val="36"/>
          <w:lang w:val="it-IT"/>
        </w:rPr>
        <w:br/>
      </w:r>
      <w:r w:rsidRPr="004B6924">
        <w:rPr>
          <w:rFonts w:ascii="Arial"/>
        </w:rPr>
        <w:t xml:space="preserve">Laura </w:t>
      </w:r>
      <w:proofErr w:type="spellStart"/>
      <w:r w:rsidRPr="004B6924">
        <w:rPr>
          <w:rFonts w:ascii="Arial"/>
        </w:rPr>
        <w:t>Droctove</w:t>
      </w:r>
      <w:r w:rsidRPr="004B6924">
        <w:rPr>
          <w:rFonts w:ascii="Arial"/>
          <w:vertAlign w:val="superscript"/>
        </w:rPr>
        <w:t>a</w:t>
      </w:r>
      <w:proofErr w:type="spellEnd"/>
      <w:r w:rsidRPr="004B6924">
        <w:rPr>
          <w:rFonts w:ascii="Arial"/>
        </w:rPr>
        <w:t xml:space="preserve"> Justyna </w:t>
      </w:r>
      <w:proofErr w:type="spellStart"/>
      <w:r w:rsidRPr="004B6924">
        <w:rPr>
          <w:rFonts w:ascii="Arial"/>
        </w:rPr>
        <w:t>Ciolek</w:t>
      </w:r>
      <w:r w:rsidRPr="004B6924">
        <w:rPr>
          <w:rFonts w:ascii="Arial"/>
          <w:vertAlign w:val="superscript"/>
        </w:rPr>
        <w:t>a</w:t>
      </w:r>
      <w:proofErr w:type="spellEnd"/>
      <w:r w:rsidRPr="004B6924">
        <w:rPr>
          <w:rFonts w:ascii="Arial"/>
        </w:rPr>
        <w:t xml:space="preserve"> Helen </w:t>
      </w:r>
      <w:proofErr w:type="spellStart"/>
      <w:r w:rsidRPr="004B6924">
        <w:rPr>
          <w:rFonts w:ascii="Arial"/>
        </w:rPr>
        <w:t>Reinfrank</w:t>
      </w:r>
      <w:r w:rsidRPr="004B6924">
        <w:rPr>
          <w:rFonts w:ascii="Arial"/>
          <w:vertAlign w:val="superscript"/>
        </w:rPr>
        <w:t>b</w:t>
      </w:r>
      <w:proofErr w:type="spellEnd"/>
      <w:r w:rsidRPr="004B6924">
        <w:rPr>
          <w:rFonts w:ascii="Arial"/>
        </w:rPr>
        <w:t xml:space="preserve"> Gilles </w:t>
      </w:r>
      <w:proofErr w:type="spellStart"/>
      <w:r w:rsidRPr="004B6924">
        <w:rPr>
          <w:rFonts w:ascii="Arial"/>
        </w:rPr>
        <w:t>Mourier</w:t>
      </w:r>
      <w:r w:rsidRPr="004B6924">
        <w:rPr>
          <w:rFonts w:ascii="Arial"/>
          <w:vertAlign w:val="superscript"/>
        </w:rPr>
        <w:t>a</w:t>
      </w:r>
      <w:proofErr w:type="spellEnd"/>
      <w:r w:rsidRPr="004B6924">
        <w:rPr>
          <w:rFonts w:ascii="Arial"/>
        </w:rPr>
        <w:t xml:space="preserve"> Bernard </w:t>
      </w:r>
      <w:proofErr w:type="spellStart"/>
      <w:r w:rsidRPr="004B6924">
        <w:rPr>
          <w:rFonts w:ascii="Arial"/>
        </w:rPr>
        <w:t>Mouillac</w:t>
      </w:r>
      <w:r w:rsidRPr="004B6924">
        <w:rPr>
          <w:rFonts w:ascii="Arial"/>
          <w:vertAlign w:val="superscript"/>
        </w:rPr>
        <w:t>c</w:t>
      </w:r>
      <w:proofErr w:type="spellEnd"/>
      <w:r w:rsidRPr="004B6924">
        <w:rPr>
          <w:rFonts w:ascii="Arial"/>
        </w:rPr>
        <w:t xml:space="preserve"> Christiane </w:t>
      </w:r>
      <w:proofErr w:type="spellStart"/>
      <w:r w:rsidRPr="004B6924">
        <w:rPr>
          <w:rFonts w:ascii="Arial"/>
        </w:rPr>
        <w:t>Mendre</w:t>
      </w:r>
      <w:r w:rsidRPr="004B6924">
        <w:rPr>
          <w:rFonts w:ascii="Arial"/>
          <w:vertAlign w:val="superscript"/>
        </w:rPr>
        <w:t>c</w:t>
      </w:r>
      <w:proofErr w:type="spellEnd"/>
      <w:r w:rsidRPr="004B6924">
        <w:rPr>
          <w:rFonts w:ascii="Arial"/>
        </w:rPr>
        <w:t xml:space="preserve"> Ralph </w:t>
      </w:r>
      <w:proofErr w:type="spellStart"/>
      <w:r w:rsidRPr="004B6924">
        <w:rPr>
          <w:rFonts w:ascii="Arial"/>
        </w:rPr>
        <w:t>Witzgall</w:t>
      </w:r>
      <w:r w:rsidRPr="004B6924">
        <w:rPr>
          <w:rFonts w:ascii="Arial"/>
          <w:vertAlign w:val="superscript"/>
        </w:rPr>
        <w:t>b</w:t>
      </w:r>
      <w:proofErr w:type="spellEnd"/>
      <w:r w:rsidRPr="004B6924">
        <w:rPr>
          <w:rFonts w:ascii="Arial"/>
        </w:rPr>
        <w:t xml:space="preserve"> Denis </w:t>
      </w:r>
      <w:proofErr w:type="spellStart"/>
      <w:r w:rsidRPr="004B6924">
        <w:rPr>
          <w:rFonts w:ascii="Arial"/>
        </w:rPr>
        <w:t>Servent</w:t>
      </w:r>
      <w:r w:rsidRPr="004B6924">
        <w:rPr>
          <w:rFonts w:ascii="Arial"/>
          <w:vertAlign w:val="superscript"/>
        </w:rPr>
        <w:t>a</w:t>
      </w:r>
      <w:proofErr w:type="spellEnd"/>
      <w:r w:rsidRPr="004B6924">
        <w:rPr>
          <w:rFonts w:ascii="Arial"/>
        </w:rPr>
        <w:t xml:space="preserve"> Nicolas </w:t>
      </w:r>
      <w:proofErr w:type="spellStart"/>
      <w:r w:rsidRPr="004B6924">
        <w:rPr>
          <w:rFonts w:ascii="Arial"/>
        </w:rPr>
        <w:t>Gilles</w:t>
      </w:r>
      <w:r w:rsidRPr="004B6924">
        <w:rPr>
          <w:rFonts w:ascii="Arial"/>
          <w:vertAlign w:val="superscript"/>
        </w:rPr>
        <w:t>a</w:t>
      </w:r>
      <w:proofErr w:type="spellEnd"/>
    </w:p>
    <w:p w:rsidR="004B6924" w:rsidRPr="004B6924" w:rsidRDefault="004B6924" w:rsidP="004B6924">
      <w:pPr>
        <w:pStyle w:val="Corpsdetexte"/>
        <w:spacing w:before="73" w:line="198" w:lineRule="exact"/>
        <w:ind w:left="100" w:right="58"/>
        <w:rPr>
          <w:rFonts w:ascii="Arial"/>
        </w:rPr>
      </w:pPr>
      <w:proofErr w:type="gramStart"/>
      <w:r w:rsidRPr="004B6924">
        <w:rPr>
          <w:rFonts w:ascii="Arial"/>
        </w:rPr>
        <w:t>a</w:t>
      </w:r>
      <w:proofErr w:type="gramEnd"/>
      <w:r w:rsidRPr="004B6924">
        <w:rPr>
          <w:rFonts w:ascii="Arial"/>
        </w:rPr>
        <w:t xml:space="preserve"> CEA-Saclay, </w:t>
      </w:r>
      <w:proofErr w:type="spellStart"/>
      <w:r w:rsidRPr="004B6924">
        <w:rPr>
          <w:rFonts w:ascii="Arial"/>
        </w:rPr>
        <w:t>Institut</w:t>
      </w:r>
      <w:proofErr w:type="spellEnd"/>
      <w:r w:rsidRPr="004B6924">
        <w:rPr>
          <w:rFonts w:ascii="Arial"/>
        </w:rPr>
        <w:t xml:space="preserve"> de </w:t>
      </w:r>
      <w:proofErr w:type="spellStart"/>
      <w:r w:rsidRPr="004B6924">
        <w:rPr>
          <w:rFonts w:ascii="Arial"/>
        </w:rPr>
        <w:t>Biologie</w:t>
      </w:r>
      <w:proofErr w:type="spellEnd"/>
      <w:r w:rsidRPr="004B6924">
        <w:rPr>
          <w:rFonts w:ascii="Arial"/>
        </w:rPr>
        <w:t xml:space="preserve"> et de </w:t>
      </w:r>
      <w:proofErr w:type="spellStart"/>
      <w:r w:rsidRPr="004B6924">
        <w:rPr>
          <w:rFonts w:ascii="Arial"/>
        </w:rPr>
        <w:t>Technologie</w:t>
      </w:r>
      <w:proofErr w:type="spellEnd"/>
      <w:r w:rsidRPr="004B6924">
        <w:rPr>
          <w:rFonts w:ascii="Arial"/>
        </w:rPr>
        <w:t xml:space="preserve"> de Saclay, 91191 Gif-sur-Yvette, France. </w:t>
      </w:r>
    </w:p>
    <w:p w:rsidR="004B6924" w:rsidRPr="004B6924" w:rsidRDefault="004B6924" w:rsidP="004B6924">
      <w:pPr>
        <w:pStyle w:val="Corpsdetexte"/>
        <w:spacing w:before="73" w:line="198" w:lineRule="exact"/>
        <w:ind w:left="100" w:right="58"/>
        <w:rPr>
          <w:rFonts w:ascii="Arial"/>
        </w:rPr>
      </w:pPr>
      <w:proofErr w:type="spellStart"/>
      <w:proofErr w:type="gramStart"/>
      <w:r w:rsidRPr="004B6924">
        <w:rPr>
          <w:rFonts w:ascii="Arial"/>
        </w:rPr>
        <w:t>bInstitute</w:t>
      </w:r>
      <w:proofErr w:type="spellEnd"/>
      <w:proofErr w:type="gramEnd"/>
      <w:r w:rsidRPr="004B6924">
        <w:rPr>
          <w:rFonts w:ascii="Arial"/>
        </w:rPr>
        <w:t xml:space="preserve"> of molecular and cellular anatomy, university of Regensburg, Germany. </w:t>
      </w:r>
    </w:p>
    <w:p w:rsidR="005973B9" w:rsidRDefault="004B6924" w:rsidP="004B6924">
      <w:pPr>
        <w:pStyle w:val="Corpsdetexte"/>
        <w:spacing w:before="73" w:line="198" w:lineRule="exact"/>
        <w:ind w:left="100" w:right="58"/>
        <w:rPr>
          <w:rFonts w:ascii="Arial"/>
        </w:rPr>
      </w:pPr>
      <w:proofErr w:type="spellStart"/>
      <w:proofErr w:type="gramStart"/>
      <w:r w:rsidRPr="004B6924">
        <w:rPr>
          <w:rFonts w:ascii="Arial"/>
        </w:rPr>
        <w:t>cInstitute</w:t>
      </w:r>
      <w:proofErr w:type="spellEnd"/>
      <w:proofErr w:type="gramEnd"/>
      <w:r w:rsidRPr="004B6924">
        <w:rPr>
          <w:rFonts w:ascii="Arial"/>
        </w:rPr>
        <w:t xml:space="preserve"> of functional genomic, CNRS, Montpellier, France.</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(300 word limit)</w:t>
      </w:r>
    </w:p>
    <w:p w:rsidR="003C294F" w:rsidRDefault="004B6924" w:rsidP="003C294F">
      <w:pPr>
        <w:pStyle w:val="Titre3"/>
        <w:spacing w:before="74"/>
        <w:rPr>
          <w:b w:val="0"/>
        </w:rPr>
      </w:pPr>
      <w:r w:rsidRPr="004B6924">
        <w:rPr>
          <w:rFonts w:ascii="Tw Cen MT" w:eastAsia="Tw Cen MT" w:hAnsi="Tw Cen MT" w:cs="Tw Cen MT"/>
          <w:b w:val="0"/>
          <w:bCs w:val="0"/>
          <w:sz w:val="18"/>
          <w:szCs w:val="18"/>
        </w:rPr>
        <w:t>Autosomal dominant polykystose kidney disease affect 1 over 1,000 peoples, leading to end-stage renal disease. The blockage of the Vasopressin type 2 receptor (V2R) is a validated therapeutic line in human by preventing the vasopressin-induced elevation in intracellular cAMP concentration. Currently, only tolvaptan (</w:t>
      </w:r>
      <w:proofErr w:type="spellStart"/>
      <w:r w:rsidRPr="004B6924">
        <w:rPr>
          <w:rFonts w:ascii="Tw Cen MT" w:eastAsia="Tw Cen MT" w:hAnsi="Tw Cen MT" w:cs="Tw Cen MT"/>
          <w:b w:val="0"/>
          <w:bCs w:val="0"/>
          <w:sz w:val="18"/>
          <w:szCs w:val="18"/>
        </w:rPr>
        <w:t>jirnac</w:t>
      </w:r>
      <w:proofErr w:type="spellEnd"/>
      <w:r w:rsidRPr="004B6924">
        <w:rPr>
          <w:rFonts w:ascii="Tw Cen MT" w:eastAsia="Tw Cen MT" w:hAnsi="Tw Cen MT" w:cs="Tw Cen MT"/>
          <w:b w:val="0"/>
          <w:bCs w:val="0"/>
          <w:sz w:val="18"/>
          <w:szCs w:val="18"/>
        </w:rPr>
        <w:t xml:space="preserve">) succeed to reach the market but with many concerns (Torres et al., 2017). Scorpions, spiders, snakes, conus, insects, </w:t>
      </w:r>
      <w:proofErr w:type="spellStart"/>
      <w:r w:rsidRPr="004B6924">
        <w:rPr>
          <w:rFonts w:ascii="Tw Cen MT" w:eastAsia="Tw Cen MT" w:hAnsi="Tw Cen MT" w:cs="Tw Cen MT"/>
          <w:b w:val="0"/>
          <w:bCs w:val="0"/>
          <w:sz w:val="18"/>
          <w:szCs w:val="18"/>
        </w:rPr>
        <w:t>miriapodes</w:t>
      </w:r>
      <w:proofErr w:type="spellEnd"/>
      <w:r w:rsidRPr="004B6924">
        <w:rPr>
          <w:rFonts w:ascii="Tw Cen MT" w:eastAsia="Tw Cen MT" w:hAnsi="Tw Cen MT" w:cs="Tw Cen MT"/>
          <w:b w:val="0"/>
          <w:bCs w:val="0"/>
          <w:sz w:val="18"/>
          <w:szCs w:val="18"/>
        </w:rPr>
        <w:t xml:space="preserve"> are often seen as dangerous, frightening and ugly animals. Their venoms are extremely rich in toxins historically identified for their toxicities. We believe that animal toxins are highly valuable in the context of human use and drug development. We developed a specific strategy in order to identified toxins with the purpose of discover novel drug candidates. Mambaquaretin was discovered in the green mamba venom by a bioguidage strategy directed against the V2R. This toxin belongs to the Kunitz fold peptide family, and its displays a </w:t>
      </w:r>
      <w:proofErr w:type="spellStart"/>
      <w:r w:rsidRPr="004B6924">
        <w:rPr>
          <w:rFonts w:ascii="Tw Cen MT" w:eastAsia="Tw Cen MT" w:hAnsi="Tw Cen MT" w:cs="Tw Cen MT"/>
          <w:b w:val="0"/>
          <w:bCs w:val="0"/>
          <w:sz w:val="18"/>
          <w:szCs w:val="18"/>
        </w:rPr>
        <w:t>nanomolar</w:t>
      </w:r>
      <w:proofErr w:type="spellEnd"/>
      <w:r w:rsidRPr="004B6924">
        <w:rPr>
          <w:rFonts w:ascii="Tw Cen MT" w:eastAsia="Tw Cen MT" w:hAnsi="Tw Cen MT" w:cs="Tw Cen MT"/>
          <w:b w:val="0"/>
          <w:bCs w:val="0"/>
          <w:sz w:val="18"/>
          <w:szCs w:val="18"/>
        </w:rPr>
        <w:t xml:space="preserve"> affinity for the V2R. Molecular pharmacological essays demonstrated that mambaquaretin is the most selective V2R antagonist. Daily injection of 13 µg of mambaquaretin to </w:t>
      </w:r>
      <w:proofErr w:type="spellStart"/>
      <w:r w:rsidRPr="004B6924">
        <w:rPr>
          <w:rFonts w:ascii="Tw Cen MT" w:eastAsia="Tw Cen MT" w:hAnsi="Tw Cen MT" w:cs="Tw Cen MT"/>
          <w:b w:val="0"/>
          <w:bCs w:val="0"/>
          <w:sz w:val="18"/>
          <w:szCs w:val="18"/>
        </w:rPr>
        <w:t>pcy</w:t>
      </w:r>
      <w:proofErr w:type="spellEnd"/>
      <w:r w:rsidRPr="004B6924">
        <w:rPr>
          <w:rFonts w:ascii="Tw Cen MT" w:eastAsia="Tw Cen MT" w:hAnsi="Tw Cen MT" w:cs="Tw Cen MT"/>
          <w:b w:val="0"/>
          <w:bCs w:val="0"/>
          <w:sz w:val="18"/>
          <w:szCs w:val="18"/>
        </w:rPr>
        <w:t xml:space="preserve"> mice, a model of juvenile recessive kidney polykystose, over a period of 99 days, allowed the drug candidate to inhibit cyst growth area by almost 30%. No apparent toxicity was observed in treated animals (</w:t>
      </w:r>
      <w:proofErr w:type="spellStart"/>
      <w:r w:rsidRPr="004B6924">
        <w:rPr>
          <w:rFonts w:ascii="Tw Cen MT" w:eastAsia="Tw Cen MT" w:hAnsi="Tw Cen MT" w:cs="Tw Cen MT"/>
          <w:b w:val="0"/>
          <w:bCs w:val="0"/>
          <w:sz w:val="18"/>
          <w:szCs w:val="18"/>
        </w:rPr>
        <w:t>Ciolek</w:t>
      </w:r>
      <w:proofErr w:type="spellEnd"/>
      <w:r w:rsidRPr="004B6924">
        <w:rPr>
          <w:rFonts w:ascii="Tw Cen MT" w:eastAsia="Tw Cen MT" w:hAnsi="Tw Cen MT" w:cs="Tw Cen MT"/>
          <w:b w:val="0"/>
          <w:bCs w:val="0"/>
          <w:sz w:val="18"/>
          <w:szCs w:val="18"/>
        </w:rPr>
        <w:t xml:space="preserve"> et al., 2017). Mambaquaretin is a promising drug candidate with an original mode of action. Molecular modelling and structure function analysis allowed us to propose a model of interaction of the mambaquaretin/V2R complex.</w:t>
      </w:r>
    </w:p>
    <w:p w:rsidR="003C294F" w:rsidRPr="003C294F" w:rsidRDefault="003C294F" w:rsidP="003C294F">
      <w:pPr>
        <w:pStyle w:val="Titre3"/>
        <w:spacing w:before="74"/>
        <w:rPr>
          <w:b w:val="0"/>
          <w:sz w:val="16"/>
        </w:rPr>
      </w:pPr>
      <w:r w:rsidRPr="003C294F">
        <w:rPr>
          <w:rFonts w:ascii="Calibri" w:eastAsia="Calibri" w:hAnsi="Calibri" w:cs="Calibri"/>
          <w:b w:val="0"/>
          <w:sz w:val="14"/>
        </w:rPr>
        <w:t xml:space="preserve">Torres, V.E., Chapman, A.B., </w:t>
      </w:r>
      <w:proofErr w:type="spellStart"/>
      <w:r w:rsidRPr="003C294F">
        <w:rPr>
          <w:rFonts w:ascii="Calibri" w:eastAsia="Calibri" w:hAnsi="Calibri" w:cs="Calibri"/>
          <w:b w:val="0"/>
          <w:sz w:val="14"/>
        </w:rPr>
        <w:t>Devuyst</w:t>
      </w:r>
      <w:proofErr w:type="spellEnd"/>
      <w:r w:rsidRPr="003C294F">
        <w:rPr>
          <w:rFonts w:ascii="Calibri" w:eastAsia="Calibri" w:hAnsi="Calibri" w:cs="Calibri"/>
          <w:b w:val="0"/>
          <w:sz w:val="14"/>
        </w:rPr>
        <w:t xml:space="preserve">, O., Gansevoort, R.T., </w:t>
      </w:r>
      <w:proofErr w:type="spellStart"/>
      <w:r w:rsidRPr="003C294F">
        <w:rPr>
          <w:rFonts w:ascii="Calibri" w:eastAsia="Calibri" w:hAnsi="Calibri" w:cs="Calibri"/>
          <w:b w:val="0"/>
          <w:sz w:val="14"/>
        </w:rPr>
        <w:t>Perrone</w:t>
      </w:r>
      <w:proofErr w:type="spellEnd"/>
      <w:r w:rsidRPr="003C294F">
        <w:rPr>
          <w:rFonts w:ascii="Calibri" w:eastAsia="Calibri" w:hAnsi="Calibri" w:cs="Calibri"/>
          <w:b w:val="0"/>
          <w:sz w:val="14"/>
        </w:rPr>
        <w:t xml:space="preserve">, R.D., </w:t>
      </w:r>
      <w:proofErr w:type="spellStart"/>
      <w:r w:rsidRPr="003C294F">
        <w:rPr>
          <w:rFonts w:ascii="Calibri" w:eastAsia="Calibri" w:hAnsi="Calibri" w:cs="Calibri"/>
          <w:b w:val="0"/>
          <w:sz w:val="14"/>
        </w:rPr>
        <w:t>Dandurand</w:t>
      </w:r>
      <w:proofErr w:type="spellEnd"/>
      <w:r w:rsidRPr="003C294F">
        <w:rPr>
          <w:rFonts w:ascii="Calibri" w:eastAsia="Calibri" w:hAnsi="Calibri" w:cs="Calibri"/>
          <w:b w:val="0"/>
          <w:sz w:val="14"/>
        </w:rPr>
        <w:t xml:space="preserve">, A., et al. (2017). Multicenter, open-label, extension trial to evaluate the long-term efficacy and safety of early versus delayed treatment with tolvaptan in autosomal dominant polycystic kidney disease: the TEMPO 4:4 Trial. </w:t>
      </w:r>
      <w:proofErr w:type="spellStart"/>
      <w:r w:rsidRPr="003C294F">
        <w:rPr>
          <w:rFonts w:ascii="Calibri" w:eastAsia="Calibri" w:hAnsi="Calibri" w:cs="Calibri"/>
          <w:b w:val="0"/>
          <w:sz w:val="14"/>
        </w:rPr>
        <w:t>Nephrol</w:t>
      </w:r>
      <w:proofErr w:type="spellEnd"/>
      <w:r w:rsidRPr="003C294F">
        <w:rPr>
          <w:rFonts w:ascii="Calibri" w:eastAsia="Calibri" w:hAnsi="Calibri" w:cs="Calibri"/>
          <w:b w:val="0"/>
          <w:sz w:val="14"/>
        </w:rPr>
        <w:t>. Dial. Transplant 1–13.</w:t>
      </w:r>
    </w:p>
    <w:p w:rsidR="003C294F" w:rsidRDefault="003C294F">
      <w:pPr>
        <w:pStyle w:val="Titre3"/>
        <w:spacing w:before="74"/>
        <w:rPr>
          <w:color w:val="BF5A14"/>
        </w:rPr>
      </w:pPr>
    </w:p>
    <w:p w:rsidR="003C294F" w:rsidRDefault="003C294F">
      <w:pPr>
        <w:pStyle w:val="Titre3"/>
        <w:spacing w:before="74"/>
        <w:rPr>
          <w:color w:val="BF5A14"/>
        </w:rPr>
      </w:pPr>
    </w:p>
    <w:p w:rsidR="003C294F" w:rsidRDefault="003C294F">
      <w:pPr>
        <w:pStyle w:val="Titre3"/>
        <w:spacing w:before="74"/>
        <w:rPr>
          <w:color w:val="BF5A14"/>
        </w:rPr>
      </w:pPr>
    </w:p>
    <w:p w:rsidR="003C294F" w:rsidRDefault="003C294F">
      <w:pPr>
        <w:pStyle w:val="Titre3"/>
        <w:spacing w:before="74"/>
        <w:rPr>
          <w:color w:val="BF5A14"/>
        </w:rPr>
      </w:pPr>
    </w:p>
    <w:p w:rsidR="00AE3E37" w:rsidRDefault="00A9710C">
      <w:pPr>
        <w:pStyle w:val="Titre3"/>
        <w:spacing w:before="74"/>
      </w:pPr>
      <w:r>
        <w:rPr>
          <w:color w:val="BF5A14"/>
        </w:rPr>
        <w:t>Image</w:t>
      </w:r>
    </w:p>
    <w:p w:rsidR="00AE3E37" w:rsidRDefault="003C294F">
      <w:pPr>
        <w:pStyle w:val="Corpsdetexte"/>
        <w:spacing w:before="2"/>
        <w:rPr>
          <w:rFonts w:ascii="Arial"/>
          <w:b/>
          <w:sz w:val="16"/>
        </w:rPr>
      </w:pPr>
      <w:r w:rsidRPr="001B0B5B">
        <w:rPr>
          <w:noProof/>
          <w:lang w:val="fr-FR" w:eastAsia="fr-FR"/>
        </w:rPr>
        <w:drawing>
          <wp:inline distT="0" distB="0" distL="0" distR="0" wp14:anchorId="7BED1CBE" wp14:editId="5274AE84">
            <wp:extent cx="3165475" cy="113014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130144"/>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4B6924" w:rsidRDefault="004B6924" w:rsidP="004B6924">
      <w:pPr>
        <w:tabs>
          <w:tab w:val="left" w:pos="384"/>
        </w:tabs>
        <w:ind w:right="117"/>
        <w:rPr>
          <w:rFonts w:ascii="Calibri" w:eastAsia="Calibri" w:hAnsi="Calibri" w:cs="Calibri"/>
          <w:sz w:val="18"/>
        </w:rPr>
      </w:pPr>
      <w:proofErr w:type="spellStart"/>
      <w:r w:rsidRPr="004B6924">
        <w:rPr>
          <w:rFonts w:ascii="Calibri" w:eastAsia="Calibri" w:hAnsi="Calibri" w:cs="Calibri"/>
          <w:sz w:val="18"/>
        </w:rPr>
        <w:t>Ciolek</w:t>
      </w:r>
      <w:proofErr w:type="spellEnd"/>
      <w:r w:rsidRPr="004B6924">
        <w:rPr>
          <w:rFonts w:ascii="Calibri" w:eastAsia="Calibri" w:hAnsi="Calibri" w:cs="Calibri"/>
          <w:sz w:val="18"/>
        </w:rPr>
        <w:t>, J., Reinfrank, H., Quinton, L., Viengchareun, S., Stura, E.A., Vera, L., et al. (2017). Green mamba peptide targets type-2 vasopressin receptor against polycystic kidney disease. Proc. Natl. Acad. Sci. U. S. A. 114: 7154–7159.</w:t>
      </w:r>
    </w:p>
    <w:p w:rsidR="003C294F" w:rsidRPr="003C294F" w:rsidRDefault="003C294F" w:rsidP="003C294F">
      <w:pPr>
        <w:tabs>
          <w:tab w:val="left" w:pos="384"/>
        </w:tabs>
        <w:ind w:right="117"/>
        <w:rPr>
          <w:rFonts w:ascii="Calibri" w:eastAsia="Calibri" w:hAnsi="Calibri" w:cs="Calibri"/>
          <w:sz w:val="18"/>
        </w:rPr>
      </w:pPr>
      <w:proofErr w:type="spellStart"/>
      <w:r w:rsidRPr="003C294F">
        <w:rPr>
          <w:rFonts w:ascii="Calibri" w:eastAsia="Calibri" w:hAnsi="Calibri" w:cs="Calibri"/>
          <w:sz w:val="18"/>
        </w:rPr>
        <w:t>Maïga</w:t>
      </w:r>
      <w:proofErr w:type="spellEnd"/>
      <w:r w:rsidRPr="003C294F">
        <w:rPr>
          <w:rFonts w:ascii="Calibri" w:eastAsia="Calibri" w:hAnsi="Calibri" w:cs="Calibri"/>
          <w:sz w:val="18"/>
        </w:rPr>
        <w:t xml:space="preserve">, A., </w:t>
      </w:r>
      <w:proofErr w:type="spellStart"/>
      <w:r w:rsidRPr="003C294F">
        <w:rPr>
          <w:rFonts w:ascii="Calibri" w:eastAsia="Calibri" w:hAnsi="Calibri" w:cs="Calibri"/>
          <w:sz w:val="18"/>
        </w:rPr>
        <w:t>Dupont</w:t>
      </w:r>
      <w:proofErr w:type="spellEnd"/>
      <w:r w:rsidRPr="003C294F">
        <w:rPr>
          <w:rFonts w:ascii="Calibri" w:eastAsia="Calibri" w:hAnsi="Calibri" w:cs="Calibri"/>
          <w:sz w:val="18"/>
        </w:rPr>
        <w:t xml:space="preserve">, M., Blanchet, G., </w:t>
      </w:r>
      <w:proofErr w:type="spellStart"/>
      <w:r w:rsidRPr="003C294F">
        <w:rPr>
          <w:rFonts w:ascii="Calibri" w:eastAsia="Calibri" w:hAnsi="Calibri" w:cs="Calibri"/>
          <w:sz w:val="18"/>
        </w:rPr>
        <w:t>Marcon</w:t>
      </w:r>
      <w:proofErr w:type="spellEnd"/>
      <w:r w:rsidRPr="003C294F">
        <w:rPr>
          <w:rFonts w:ascii="Calibri" w:eastAsia="Calibri" w:hAnsi="Calibri" w:cs="Calibri"/>
          <w:sz w:val="18"/>
        </w:rPr>
        <w:t xml:space="preserve">, E., </w:t>
      </w:r>
      <w:proofErr w:type="spellStart"/>
      <w:r w:rsidRPr="003C294F">
        <w:rPr>
          <w:rFonts w:ascii="Calibri" w:eastAsia="Calibri" w:hAnsi="Calibri" w:cs="Calibri"/>
          <w:sz w:val="18"/>
        </w:rPr>
        <w:t>Gilquin</w:t>
      </w:r>
      <w:proofErr w:type="spellEnd"/>
      <w:r w:rsidRPr="003C294F">
        <w:rPr>
          <w:rFonts w:ascii="Calibri" w:eastAsia="Calibri" w:hAnsi="Calibri" w:cs="Calibri"/>
          <w:sz w:val="18"/>
        </w:rPr>
        <w:t xml:space="preserve">, B., </w:t>
      </w:r>
      <w:proofErr w:type="spellStart"/>
      <w:r w:rsidRPr="003C294F">
        <w:rPr>
          <w:rFonts w:ascii="Calibri" w:eastAsia="Calibri" w:hAnsi="Calibri" w:cs="Calibri"/>
          <w:sz w:val="18"/>
        </w:rPr>
        <w:t>Servent</w:t>
      </w:r>
      <w:proofErr w:type="spellEnd"/>
      <w:r w:rsidRPr="003C294F">
        <w:rPr>
          <w:rFonts w:ascii="Calibri" w:eastAsia="Calibri" w:hAnsi="Calibri" w:cs="Calibri"/>
          <w:sz w:val="18"/>
        </w:rPr>
        <w:t xml:space="preserve">, D., and Gilles, N. (2014) Molecular exploration of the </w:t>
      </w:r>
      <w:proofErr w:type="gramStart"/>
      <w:r w:rsidRPr="003C294F">
        <w:rPr>
          <w:rFonts w:ascii="Calibri" w:eastAsia="Calibri" w:hAnsi="Calibri" w:cs="Calibri"/>
          <w:sz w:val="18"/>
        </w:rPr>
        <w:t>α(</w:t>
      </w:r>
      <w:proofErr w:type="gramEnd"/>
      <w:r w:rsidRPr="003C294F">
        <w:rPr>
          <w:rFonts w:ascii="Calibri" w:eastAsia="Calibri" w:hAnsi="Calibri" w:cs="Calibri"/>
          <w:sz w:val="18"/>
        </w:rPr>
        <w:t>1A)-adrenoceptor orthosteric site: binding site definition for epinephrine, HEAT and prazosin. FEBS Lett. 588, 4613–9.</w:t>
      </w:r>
    </w:p>
    <w:p w:rsidR="003C294F" w:rsidRPr="003C294F" w:rsidRDefault="003C294F" w:rsidP="003C294F">
      <w:pPr>
        <w:tabs>
          <w:tab w:val="left" w:pos="384"/>
        </w:tabs>
        <w:ind w:right="117"/>
        <w:rPr>
          <w:rFonts w:ascii="Calibri" w:eastAsia="Calibri" w:hAnsi="Calibri" w:cs="Calibri"/>
          <w:sz w:val="18"/>
        </w:rPr>
      </w:pPr>
      <w:r w:rsidRPr="003C294F">
        <w:rPr>
          <w:rFonts w:ascii="Calibri" w:eastAsia="Calibri" w:hAnsi="Calibri" w:cs="Calibri"/>
          <w:sz w:val="18"/>
        </w:rPr>
        <w:t xml:space="preserve">Gilles, N., and </w:t>
      </w:r>
      <w:proofErr w:type="spellStart"/>
      <w:r w:rsidRPr="003C294F">
        <w:rPr>
          <w:rFonts w:ascii="Calibri" w:eastAsia="Calibri" w:hAnsi="Calibri" w:cs="Calibri"/>
          <w:sz w:val="18"/>
        </w:rPr>
        <w:t>Servent</w:t>
      </w:r>
      <w:proofErr w:type="spellEnd"/>
      <w:r w:rsidRPr="003C294F">
        <w:rPr>
          <w:rFonts w:ascii="Calibri" w:eastAsia="Calibri" w:hAnsi="Calibri" w:cs="Calibri"/>
          <w:sz w:val="18"/>
        </w:rPr>
        <w:t xml:space="preserve">, D. (2014) </w:t>
      </w:r>
      <w:proofErr w:type="gramStart"/>
      <w:r w:rsidRPr="003C294F">
        <w:rPr>
          <w:rFonts w:ascii="Calibri" w:eastAsia="Calibri" w:hAnsi="Calibri" w:cs="Calibri"/>
          <w:sz w:val="18"/>
        </w:rPr>
        <w:t>The</w:t>
      </w:r>
      <w:proofErr w:type="gramEnd"/>
      <w:r w:rsidRPr="003C294F">
        <w:rPr>
          <w:rFonts w:ascii="Calibri" w:eastAsia="Calibri" w:hAnsi="Calibri" w:cs="Calibri"/>
          <w:sz w:val="18"/>
        </w:rPr>
        <w:t xml:space="preserve"> European FP7 Venomics Project. Future Med. Chem. 6, 1611–2.</w:t>
      </w:r>
    </w:p>
    <w:p w:rsidR="003C294F" w:rsidRDefault="003C294F" w:rsidP="003C294F">
      <w:pPr>
        <w:tabs>
          <w:tab w:val="left" w:pos="384"/>
        </w:tabs>
        <w:ind w:right="117"/>
        <w:rPr>
          <w:rFonts w:ascii="Calibri" w:eastAsia="Calibri" w:hAnsi="Calibri" w:cs="Calibri"/>
          <w:sz w:val="18"/>
        </w:rPr>
      </w:pPr>
      <w:proofErr w:type="spellStart"/>
      <w:r w:rsidRPr="003C294F">
        <w:rPr>
          <w:rFonts w:ascii="Calibri" w:eastAsia="Calibri" w:hAnsi="Calibri" w:cs="Calibri"/>
          <w:sz w:val="18"/>
        </w:rPr>
        <w:t>Maïga</w:t>
      </w:r>
      <w:proofErr w:type="spellEnd"/>
      <w:r w:rsidRPr="003C294F">
        <w:rPr>
          <w:rFonts w:ascii="Calibri" w:eastAsia="Calibri" w:hAnsi="Calibri" w:cs="Calibri"/>
          <w:sz w:val="18"/>
        </w:rPr>
        <w:t xml:space="preserve">, A., Merlin, J., </w:t>
      </w:r>
      <w:proofErr w:type="spellStart"/>
      <w:r w:rsidRPr="003C294F">
        <w:rPr>
          <w:rFonts w:ascii="Calibri" w:eastAsia="Calibri" w:hAnsi="Calibri" w:cs="Calibri"/>
          <w:sz w:val="18"/>
        </w:rPr>
        <w:t>Marcon</w:t>
      </w:r>
      <w:proofErr w:type="spellEnd"/>
      <w:r w:rsidRPr="003C294F">
        <w:rPr>
          <w:rFonts w:ascii="Calibri" w:eastAsia="Calibri" w:hAnsi="Calibri" w:cs="Calibri"/>
          <w:sz w:val="18"/>
        </w:rPr>
        <w:t xml:space="preserve">, E., </w:t>
      </w:r>
      <w:proofErr w:type="spellStart"/>
      <w:r w:rsidRPr="003C294F">
        <w:rPr>
          <w:rFonts w:ascii="Calibri" w:eastAsia="Calibri" w:hAnsi="Calibri" w:cs="Calibri"/>
          <w:sz w:val="18"/>
        </w:rPr>
        <w:t>Rouget</w:t>
      </w:r>
      <w:proofErr w:type="spellEnd"/>
      <w:r w:rsidRPr="003C294F">
        <w:rPr>
          <w:rFonts w:ascii="Calibri" w:eastAsia="Calibri" w:hAnsi="Calibri" w:cs="Calibri"/>
          <w:sz w:val="18"/>
        </w:rPr>
        <w:t xml:space="preserve">, C., </w:t>
      </w:r>
      <w:proofErr w:type="spellStart"/>
      <w:r w:rsidRPr="003C294F">
        <w:rPr>
          <w:rFonts w:ascii="Calibri" w:eastAsia="Calibri" w:hAnsi="Calibri" w:cs="Calibri"/>
          <w:sz w:val="18"/>
        </w:rPr>
        <w:t>Larregola</w:t>
      </w:r>
      <w:proofErr w:type="spellEnd"/>
      <w:r w:rsidRPr="003C294F">
        <w:rPr>
          <w:rFonts w:ascii="Calibri" w:eastAsia="Calibri" w:hAnsi="Calibri" w:cs="Calibri"/>
          <w:sz w:val="18"/>
        </w:rPr>
        <w:t xml:space="preserve">, M., </w:t>
      </w:r>
      <w:proofErr w:type="spellStart"/>
      <w:r w:rsidRPr="003C294F">
        <w:rPr>
          <w:rFonts w:ascii="Calibri" w:eastAsia="Calibri" w:hAnsi="Calibri" w:cs="Calibri"/>
          <w:sz w:val="18"/>
        </w:rPr>
        <w:t>Gilquin</w:t>
      </w:r>
      <w:proofErr w:type="spellEnd"/>
      <w:r w:rsidRPr="003C294F">
        <w:rPr>
          <w:rFonts w:ascii="Calibri" w:eastAsia="Calibri" w:hAnsi="Calibri" w:cs="Calibri"/>
          <w:sz w:val="18"/>
        </w:rPr>
        <w:t xml:space="preserve">, B., </w:t>
      </w:r>
      <w:proofErr w:type="spellStart"/>
      <w:r w:rsidRPr="003C294F">
        <w:rPr>
          <w:rFonts w:ascii="Calibri" w:eastAsia="Calibri" w:hAnsi="Calibri" w:cs="Calibri"/>
          <w:sz w:val="18"/>
        </w:rPr>
        <w:t>Fruchart</w:t>
      </w:r>
      <w:proofErr w:type="spellEnd"/>
      <w:r w:rsidRPr="003C294F">
        <w:rPr>
          <w:rFonts w:ascii="Calibri" w:eastAsia="Calibri" w:hAnsi="Calibri" w:cs="Calibri"/>
          <w:sz w:val="18"/>
        </w:rPr>
        <w:t xml:space="preserve">-Gaillard, C., </w:t>
      </w:r>
      <w:proofErr w:type="spellStart"/>
      <w:r w:rsidRPr="003C294F">
        <w:rPr>
          <w:rFonts w:ascii="Calibri" w:eastAsia="Calibri" w:hAnsi="Calibri" w:cs="Calibri"/>
          <w:sz w:val="18"/>
        </w:rPr>
        <w:t>Lajeunesse</w:t>
      </w:r>
      <w:proofErr w:type="spellEnd"/>
      <w:r w:rsidRPr="003C294F">
        <w:rPr>
          <w:rFonts w:ascii="Calibri" w:eastAsia="Calibri" w:hAnsi="Calibri" w:cs="Calibri"/>
          <w:sz w:val="18"/>
        </w:rPr>
        <w:t xml:space="preserve">, E., </w:t>
      </w:r>
      <w:proofErr w:type="spellStart"/>
      <w:r w:rsidRPr="003C294F">
        <w:rPr>
          <w:rFonts w:ascii="Calibri" w:eastAsia="Calibri" w:hAnsi="Calibri" w:cs="Calibri"/>
          <w:sz w:val="18"/>
        </w:rPr>
        <w:t>Marchetti</w:t>
      </w:r>
      <w:proofErr w:type="spellEnd"/>
      <w:r w:rsidRPr="003C294F">
        <w:rPr>
          <w:rFonts w:ascii="Calibri" w:eastAsia="Calibri" w:hAnsi="Calibri" w:cs="Calibri"/>
          <w:sz w:val="18"/>
        </w:rPr>
        <w:t xml:space="preserve">, C., </w:t>
      </w:r>
      <w:proofErr w:type="spellStart"/>
      <w:r w:rsidRPr="003C294F">
        <w:rPr>
          <w:rFonts w:ascii="Calibri" w:eastAsia="Calibri" w:hAnsi="Calibri" w:cs="Calibri"/>
          <w:sz w:val="18"/>
        </w:rPr>
        <w:t>Lorphelin</w:t>
      </w:r>
      <w:proofErr w:type="spellEnd"/>
      <w:r w:rsidRPr="003C294F">
        <w:rPr>
          <w:rFonts w:ascii="Calibri" w:eastAsia="Calibri" w:hAnsi="Calibri" w:cs="Calibri"/>
          <w:sz w:val="18"/>
        </w:rPr>
        <w:t xml:space="preserve">, A., </w:t>
      </w:r>
      <w:proofErr w:type="spellStart"/>
      <w:r w:rsidRPr="003C294F">
        <w:rPr>
          <w:rFonts w:ascii="Calibri" w:eastAsia="Calibri" w:hAnsi="Calibri" w:cs="Calibri"/>
          <w:sz w:val="18"/>
        </w:rPr>
        <w:t>Bellanger</w:t>
      </w:r>
      <w:proofErr w:type="spellEnd"/>
      <w:r w:rsidRPr="003C294F">
        <w:rPr>
          <w:rFonts w:ascii="Calibri" w:eastAsia="Calibri" w:hAnsi="Calibri" w:cs="Calibri"/>
          <w:sz w:val="18"/>
        </w:rPr>
        <w:t xml:space="preserve">, L., Summers, R. J., Hutchinson, D. S., Evans, B. A., </w:t>
      </w:r>
      <w:proofErr w:type="spellStart"/>
      <w:r w:rsidRPr="003C294F">
        <w:rPr>
          <w:rFonts w:ascii="Calibri" w:eastAsia="Calibri" w:hAnsi="Calibri" w:cs="Calibri"/>
          <w:sz w:val="18"/>
        </w:rPr>
        <w:t>Servent</w:t>
      </w:r>
      <w:proofErr w:type="spellEnd"/>
      <w:r w:rsidRPr="003C294F">
        <w:rPr>
          <w:rFonts w:ascii="Calibri" w:eastAsia="Calibri" w:hAnsi="Calibri" w:cs="Calibri"/>
          <w:sz w:val="18"/>
        </w:rPr>
        <w:t xml:space="preserve">, D., and Gilles, N. (2013) Orthosteric binding of ρ-Da1a, a natural peptide of snake venom interacting selectively with the α1A-adrenoceptor. </w:t>
      </w:r>
      <w:proofErr w:type="spellStart"/>
      <w:r w:rsidRPr="003C294F">
        <w:rPr>
          <w:rFonts w:ascii="Calibri" w:eastAsia="Calibri" w:hAnsi="Calibri" w:cs="Calibri"/>
          <w:sz w:val="18"/>
        </w:rPr>
        <w:t>PLoS</w:t>
      </w:r>
      <w:proofErr w:type="spellEnd"/>
      <w:r w:rsidRPr="003C294F">
        <w:rPr>
          <w:rFonts w:ascii="Calibri" w:eastAsia="Calibri" w:hAnsi="Calibri" w:cs="Calibri"/>
          <w:sz w:val="18"/>
        </w:rPr>
        <w:t xml:space="preserve"> One 8, e68841</w:t>
      </w:r>
    </w:p>
    <w:p w:rsidR="003C294F" w:rsidRPr="004B6924" w:rsidRDefault="00E342EF" w:rsidP="003C294F">
      <w:pPr>
        <w:tabs>
          <w:tab w:val="left" w:pos="384"/>
        </w:tabs>
        <w:ind w:right="117"/>
        <w:rPr>
          <w:rFonts w:ascii="Calibri" w:eastAsia="Calibri" w:hAnsi="Calibri" w:cs="Calibri"/>
          <w:sz w:val="18"/>
        </w:rPr>
      </w:pPr>
      <w:r w:rsidRPr="00E342EF">
        <w:rPr>
          <w:rFonts w:ascii="Calibri" w:eastAsia="Calibri" w:hAnsi="Calibri" w:cs="Calibri"/>
          <w:sz w:val="18"/>
        </w:rPr>
        <w:t xml:space="preserve">Gilles, N., </w:t>
      </w:r>
      <w:proofErr w:type="spellStart"/>
      <w:r w:rsidRPr="00E342EF">
        <w:rPr>
          <w:rFonts w:ascii="Calibri" w:eastAsia="Calibri" w:hAnsi="Calibri" w:cs="Calibri"/>
          <w:sz w:val="18"/>
        </w:rPr>
        <w:t>Servent</w:t>
      </w:r>
      <w:proofErr w:type="spellEnd"/>
      <w:r w:rsidRPr="00E342EF">
        <w:rPr>
          <w:rFonts w:ascii="Calibri" w:eastAsia="Calibri" w:hAnsi="Calibri" w:cs="Calibri"/>
          <w:sz w:val="18"/>
        </w:rPr>
        <w:t xml:space="preserve">, D., Quinton, L., </w:t>
      </w:r>
      <w:proofErr w:type="spellStart"/>
      <w:r w:rsidRPr="00E342EF">
        <w:rPr>
          <w:rFonts w:ascii="Calibri" w:eastAsia="Calibri" w:hAnsi="Calibri" w:cs="Calibri"/>
          <w:sz w:val="18"/>
        </w:rPr>
        <w:t>Mendre</w:t>
      </w:r>
      <w:proofErr w:type="spellEnd"/>
      <w:r w:rsidRPr="00E342EF">
        <w:rPr>
          <w:rFonts w:ascii="Calibri" w:eastAsia="Calibri" w:hAnsi="Calibri" w:cs="Calibri"/>
          <w:sz w:val="18"/>
        </w:rPr>
        <w:t xml:space="preserve">, C., Mouillac, B., Witzgall, R., and </w:t>
      </w:r>
      <w:proofErr w:type="spellStart"/>
      <w:r w:rsidRPr="00E342EF">
        <w:rPr>
          <w:rFonts w:ascii="Calibri" w:eastAsia="Calibri" w:hAnsi="Calibri" w:cs="Calibri"/>
          <w:sz w:val="18"/>
        </w:rPr>
        <w:t>Reinfranck</w:t>
      </w:r>
      <w:proofErr w:type="spellEnd"/>
      <w:r w:rsidRPr="00E342EF">
        <w:rPr>
          <w:rFonts w:ascii="Calibri" w:eastAsia="Calibri" w:hAnsi="Calibri" w:cs="Calibri"/>
          <w:sz w:val="18"/>
        </w:rPr>
        <w:t>, H. (2012) PEPTIDE ANTAGONISTS OF T</w:t>
      </w:r>
      <w:r>
        <w:rPr>
          <w:rFonts w:ascii="Calibri" w:eastAsia="Calibri" w:hAnsi="Calibri" w:cs="Calibri"/>
          <w:sz w:val="18"/>
        </w:rPr>
        <w:t>HE VASOPRESSIN-2 RECEPTOR.</w:t>
      </w:r>
      <w:r w:rsidRPr="00E342EF">
        <w:t xml:space="preserve"> </w:t>
      </w:r>
      <w:r w:rsidRPr="00E342EF">
        <w:rPr>
          <w:rFonts w:ascii="Calibri" w:eastAsia="Calibri" w:hAnsi="Calibri" w:cs="Calibri"/>
          <w:sz w:val="18"/>
        </w:rPr>
        <w:t>EP2708235_A1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28BC6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sidR="00E342EF" w:rsidRPr="001E3E9B">
        <w:rPr>
          <w:noProof/>
        </w:rPr>
        <w:drawing>
          <wp:inline distT="0" distB="0" distL="0" distR="0" wp14:anchorId="1EDADA2F" wp14:editId="4CF0F199">
            <wp:extent cx="893437" cy="762062"/>
            <wp:effectExtent l="8255"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rait NG 2016.jpg"/>
                    <pic:cNvPicPr/>
                  </pic:nvPicPr>
                  <pic:blipFill rotWithShape="1">
                    <a:blip r:embed="rId10" cstate="print">
                      <a:extLst>
                        <a:ext uri="{28A0092B-C50C-407E-A947-70E740481C1C}">
                          <a14:useLocalDpi xmlns:a14="http://schemas.microsoft.com/office/drawing/2010/main" val="0"/>
                        </a:ext>
                      </a:extLst>
                    </a:blip>
                    <a:srcRect l="24356" r="9697"/>
                    <a:stretch/>
                  </pic:blipFill>
                  <pic:spPr bwMode="auto">
                    <a:xfrm rot="5400000">
                      <a:off x="0" y="0"/>
                      <a:ext cx="916348" cy="781604"/>
                    </a:xfrm>
                    <a:prstGeom prst="rect">
                      <a:avLst/>
                    </a:prstGeom>
                    <a:ln>
                      <a:noFill/>
                    </a:ln>
                    <a:extLst>
                      <a:ext uri="{53640926-AAD7-44D8-BBD7-CCE9431645EC}">
                        <a14:shadowObscured xmlns:a14="http://schemas.microsoft.com/office/drawing/2010/main"/>
                      </a:ext>
                    </a:extLst>
                  </pic:spPr>
                </pic:pic>
              </a:graphicData>
            </a:graphic>
          </wp:inline>
        </w:drawing>
      </w:r>
      <w:bookmarkEnd w:id="0"/>
      <w:r w:rsidR="00A9710C">
        <w:rPr>
          <w:rFonts w:ascii="Arial"/>
          <w:color w:val="BF5A14"/>
        </w:rPr>
        <w:t>Biography</w:t>
      </w:r>
      <w:r w:rsidR="00404E5B">
        <w:rPr>
          <w:rFonts w:ascii="Arial"/>
          <w:color w:val="BF5A14"/>
        </w:rPr>
        <w:t xml:space="preserve"> (150 word limit)</w:t>
      </w:r>
    </w:p>
    <w:p w:rsidR="00AE3E37" w:rsidRDefault="004B6924" w:rsidP="004B6924">
      <w:pPr>
        <w:spacing w:before="62"/>
        <w:ind w:left="142" w:right="484"/>
        <w:jc w:val="center"/>
        <w:rPr>
          <w:rFonts w:ascii="Arial"/>
          <w:sz w:val="14"/>
        </w:rPr>
      </w:pPr>
      <w:r w:rsidRPr="004B6924">
        <w:rPr>
          <w:rFonts w:ascii="Arial"/>
          <w:sz w:val="14"/>
        </w:rPr>
        <w:t xml:space="preserve">Dr. Gilles has completed his PhD at the age of 34 years from Paris Descartes University. He is pioneering the investigation of animal toxins acting on GPCRs, the largest therapeutic target class. His strongest expertise lies in receptor pharmacology, synthetic production of disulfide-linked animal toxins and in vivo experiments. He has published more than 70 papers and three patents. His strongest interest is now to stimulate the therapeutic development of animal toxins for the benefit of human health. </w:t>
      </w:r>
      <w:r w:rsidR="00A9710C">
        <w:rPr>
          <w:rFonts w:ascii="Arial"/>
          <w:sz w:val="14"/>
        </w:rPr>
        <w:t xml:space="preserve">Email: </w:t>
      </w:r>
      <w:hyperlink r:id="rId11" w:history="1">
        <w:r w:rsidR="003C294F" w:rsidRPr="001966EE">
          <w:rPr>
            <w:rStyle w:val="Lienhypertexte"/>
            <w:rFonts w:ascii="Arial"/>
            <w:sz w:val="14"/>
          </w:rPr>
          <w:t>nicolas.gilles@cea.fr</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55BB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2A5" w:rsidRDefault="007062A5">
      <w:r>
        <w:separator/>
      </w:r>
    </w:p>
  </w:endnote>
  <w:endnote w:type="continuationSeparator" w:id="0">
    <w:p w:rsidR="007062A5" w:rsidRDefault="00706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2A5" w:rsidRDefault="007062A5">
      <w:r>
        <w:separator/>
      </w:r>
    </w:p>
  </w:footnote>
  <w:footnote w:type="continuationSeparator" w:id="0">
    <w:p w:rsidR="007062A5" w:rsidRDefault="007062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C294F"/>
    <w:rsid w:val="00404E5B"/>
    <w:rsid w:val="00414F7B"/>
    <w:rsid w:val="004355DC"/>
    <w:rsid w:val="004749B4"/>
    <w:rsid w:val="00494130"/>
    <w:rsid w:val="004B6924"/>
    <w:rsid w:val="004F3523"/>
    <w:rsid w:val="005973B9"/>
    <w:rsid w:val="005B3A56"/>
    <w:rsid w:val="006060CE"/>
    <w:rsid w:val="0063497F"/>
    <w:rsid w:val="007062A5"/>
    <w:rsid w:val="00873DF0"/>
    <w:rsid w:val="008756E6"/>
    <w:rsid w:val="008A08B6"/>
    <w:rsid w:val="009B2D44"/>
    <w:rsid w:val="00A07E82"/>
    <w:rsid w:val="00A9710C"/>
    <w:rsid w:val="00AE3E37"/>
    <w:rsid w:val="00B21A57"/>
    <w:rsid w:val="00C33602"/>
    <w:rsid w:val="00CD6F55"/>
    <w:rsid w:val="00DE3104"/>
    <w:rsid w:val="00E26B10"/>
    <w:rsid w:val="00E342E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9DF6E9-32B7-47B1-BBB5-4D5F5E370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colas.gilles@cea.f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w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662</Words>
  <Characters>3646</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GILLES Nicolas 139947</cp:lastModifiedBy>
  <cp:revision>3</cp:revision>
  <dcterms:created xsi:type="dcterms:W3CDTF">2017-12-18T19:35:00Z</dcterms:created>
  <dcterms:modified xsi:type="dcterms:W3CDTF">2017-12-18T19:47:00Z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