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00091" w14:textId="77777777" w:rsidR="00065D42" w:rsidRPr="00065D42" w:rsidRDefault="00065D42" w:rsidP="001B64AB">
      <w:pPr>
        <w:spacing w:after="0" w:line="240" w:lineRule="auto"/>
        <w:rPr>
          <w:rFonts w:ascii="Times" w:hAnsi="Times" w:cs="Arial"/>
          <w:b/>
          <w:bCs/>
          <w:sz w:val="24"/>
          <w:szCs w:val="24"/>
        </w:rPr>
      </w:pPr>
      <w:r w:rsidRPr="00065D42">
        <w:rPr>
          <w:rFonts w:ascii="Times" w:hAnsi="Times" w:cs="Arial"/>
          <w:b/>
          <w:bCs/>
          <w:sz w:val="24"/>
          <w:szCs w:val="24"/>
        </w:rPr>
        <w:t>Clinical Outcomes of Hemodialysis Patients Admitted for COVID-19 at San Juan de Dios Hospital from April 2020 to April 2022</w:t>
      </w:r>
    </w:p>
    <w:p w14:paraId="38389F84" w14:textId="4A8E2937" w:rsidR="001B64AB" w:rsidRPr="001B64AB" w:rsidRDefault="001B64AB" w:rsidP="001B64AB">
      <w:pPr>
        <w:spacing w:after="0" w:line="240" w:lineRule="auto"/>
        <w:rPr>
          <w:rFonts w:ascii="Times" w:hAnsi="Times" w:cs="Arial"/>
          <w:b/>
          <w:bCs/>
          <w:color w:val="FF0000"/>
          <w:sz w:val="24"/>
          <w:szCs w:val="24"/>
        </w:rPr>
      </w:pPr>
      <w:r w:rsidRPr="001B64AB">
        <w:rPr>
          <w:rFonts w:ascii="Times" w:hAnsi="Times"/>
          <w:i/>
          <w:iCs/>
          <w:sz w:val="24"/>
          <w:szCs w:val="24"/>
        </w:rPr>
        <w:t>Maria Cristina S.</w:t>
      </w:r>
      <w:r w:rsidR="009A1A13">
        <w:rPr>
          <w:rFonts w:ascii="Times" w:hAnsi="Times"/>
          <w:i/>
          <w:iCs/>
          <w:sz w:val="24"/>
          <w:szCs w:val="24"/>
        </w:rPr>
        <w:t xml:space="preserve"> </w:t>
      </w:r>
      <w:proofErr w:type="spellStart"/>
      <w:r w:rsidR="009A1A13">
        <w:rPr>
          <w:rFonts w:ascii="Times" w:hAnsi="Times"/>
          <w:i/>
          <w:iCs/>
          <w:sz w:val="24"/>
          <w:szCs w:val="24"/>
        </w:rPr>
        <w:t>Amat</w:t>
      </w:r>
      <w:proofErr w:type="spellEnd"/>
      <w:r w:rsidR="009A1A13">
        <w:rPr>
          <w:rFonts w:ascii="Times" w:hAnsi="Times"/>
          <w:i/>
          <w:iCs/>
          <w:sz w:val="24"/>
          <w:szCs w:val="24"/>
        </w:rPr>
        <w:t>, MD</w:t>
      </w:r>
    </w:p>
    <w:p w14:paraId="07F332BC" w14:textId="15281FD9" w:rsidR="001B64AB" w:rsidRPr="009A1A13" w:rsidRDefault="009A1A13" w:rsidP="001B64AB">
      <w:pPr>
        <w:spacing w:line="240" w:lineRule="auto"/>
        <w:jc w:val="both"/>
        <w:rPr>
          <w:rFonts w:ascii="Times" w:hAnsi="Times"/>
        </w:rPr>
      </w:pPr>
      <w:r w:rsidRPr="009A1A13">
        <w:rPr>
          <w:rFonts w:ascii="Times" w:hAnsi="Times"/>
        </w:rPr>
        <w:t xml:space="preserve">San Juan de Dios Educational Foundation Inc. Hospital </w:t>
      </w:r>
    </w:p>
    <w:p w14:paraId="2F9C4E83" w14:textId="77777777" w:rsidR="00030E88" w:rsidRDefault="00030E88" w:rsidP="001B64AB">
      <w:pPr>
        <w:spacing w:after="0" w:line="240" w:lineRule="auto"/>
        <w:jc w:val="both"/>
        <w:rPr>
          <w:rFonts w:ascii="Times" w:hAnsi="Times"/>
          <w:b/>
          <w:bCs/>
        </w:rPr>
      </w:pPr>
    </w:p>
    <w:p w14:paraId="7B707829" w14:textId="2F92D905" w:rsidR="001B64AB" w:rsidRPr="00815BF2" w:rsidRDefault="001B64AB" w:rsidP="001B64AB">
      <w:pPr>
        <w:spacing w:after="0" w:line="240" w:lineRule="auto"/>
        <w:jc w:val="both"/>
        <w:rPr>
          <w:rFonts w:ascii="Times" w:hAnsi="Times" w:cs="Arial"/>
          <w:bCs/>
        </w:rPr>
      </w:pPr>
      <w:r w:rsidRPr="00815BF2">
        <w:rPr>
          <w:rFonts w:ascii="Times" w:hAnsi="Times"/>
          <w:b/>
          <w:bCs/>
        </w:rPr>
        <w:t>Background</w:t>
      </w:r>
      <w:r>
        <w:rPr>
          <w:rFonts w:ascii="Times" w:hAnsi="Times"/>
        </w:rPr>
        <w:t xml:space="preserve">: </w:t>
      </w:r>
      <w:r w:rsidRPr="00753F6B">
        <w:rPr>
          <w:rFonts w:ascii="Times" w:hAnsi="Times" w:cs="Arial"/>
          <w:bCs/>
        </w:rPr>
        <w:t>The COVID-19</w:t>
      </w:r>
      <w:r>
        <w:rPr>
          <w:rFonts w:ascii="Times" w:hAnsi="Times" w:cs="Arial"/>
          <w:bCs/>
        </w:rPr>
        <w:t xml:space="preserve"> </w:t>
      </w:r>
      <w:r w:rsidRPr="00753F6B">
        <w:rPr>
          <w:rFonts w:ascii="Times" w:hAnsi="Times" w:cs="Arial"/>
          <w:bCs/>
        </w:rPr>
        <w:t xml:space="preserve">pandemic has caused significant disease burden </w:t>
      </w:r>
      <w:r>
        <w:rPr>
          <w:rFonts w:ascii="Times" w:hAnsi="Times" w:cs="Arial"/>
          <w:bCs/>
        </w:rPr>
        <w:t xml:space="preserve">especially on vulnerable groups such as patients on hemodialysis. This study aims to </w:t>
      </w:r>
      <w:r w:rsidRPr="00753F6B">
        <w:rPr>
          <w:rFonts w:ascii="Times" w:hAnsi="Times" w:cs="Arial"/>
          <w:bCs/>
        </w:rPr>
        <w:t xml:space="preserve">identify parameters associated with clinical outcomes among CKD patients </w:t>
      </w:r>
      <w:r>
        <w:rPr>
          <w:rFonts w:ascii="Times" w:hAnsi="Times" w:cs="Arial"/>
          <w:bCs/>
        </w:rPr>
        <w:t xml:space="preserve">on hemodialysis </w:t>
      </w:r>
      <w:r w:rsidRPr="00753F6B">
        <w:rPr>
          <w:rFonts w:ascii="Times" w:hAnsi="Times" w:cs="Arial"/>
          <w:bCs/>
        </w:rPr>
        <w:t>admitted for COVID-19 infection at San Juan de Dios Hospital from April 2020 to April 2022.</w:t>
      </w:r>
    </w:p>
    <w:p w14:paraId="24BEC1F8" w14:textId="092D5A43" w:rsidR="001B64AB" w:rsidRDefault="001B64AB" w:rsidP="001B64AB">
      <w:pPr>
        <w:spacing w:line="240" w:lineRule="auto"/>
        <w:jc w:val="both"/>
        <w:rPr>
          <w:rFonts w:ascii="Times" w:hAnsi="Times"/>
        </w:rPr>
      </w:pPr>
      <w:r w:rsidRPr="00067725">
        <w:rPr>
          <w:rFonts w:ascii="Times" w:hAnsi="Times"/>
          <w:b/>
          <w:bCs/>
        </w:rPr>
        <w:t>Methods</w:t>
      </w:r>
      <w:r>
        <w:rPr>
          <w:rFonts w:ascii="Times" w:hAnsi="Times"/>
        </w:rPr>
        <w:t xml:space="preserve">: </w:t>
      </w:r>
      <w:r w:rsidRPr="000D1B75">
        <w:rPr>
          <w:rFonts w:ascii="Times" w:hAnsi="Times" w:cs="Arial"/>
          <w:bCs/>
        </w:rPr>
        <w:t xml:space="preserve">This </w:t>
      </w:r>
      <w:r w:rsidR="005844B0">
        <w:rPr>
          <w:rFonts w:ascii="Times" w:hAnsi="Times" w:cs="Arial"/>
          <w:bCs/>
        </w:rPr>
        <w:t>descriptive</w:t>
      </w:r>
      <w:r w:rsidRPr="000D1B75">
        <w:rPr>
          <w:rFonts w:ascii="Times" w:hAnsi="Times" w:cs="Arial"/>
          <w:bCs/>
        </w:rPr>
        <w:t xml:space="preserve"> analysis</w:t>
      </w:r>
      <w:r>
        <w:rPr>
          <w:rFonts w:ascii="Times" w:hAnsi="Times" w:cs="Arial"/>
          <w:bCs/>
        </w:rPr>
        <w:t xml:space="preserve"> included</w:t>
      </w:r>
      <w:r w:rsidRPr="000D1B75">
        <w:rPr>
          <w:rFonts w:ascii="Times" w:hAnsi="Times" w:cs="Arial"/>
          <w:bCs/>
        </w:rPr>
        <w:t xml:space="preserve"> CKD patients o</w:t>
      </w:r>
      <w:r w:rsidR="00CC25FF">
        <w:rPr>
          <w:rFonts w:ascii="Times" w:hAnsi="Times" w:cs="Arial"/>
          <w:bCs/>
        </w:rPr>
        <w:t>n</w:t>
      </w:r>
      <w:r w:rsidRPr="000D1B75">
        <w:rPr>
          <w:rFonts w:ascii="Times" w:hAnsi="Times" w:cs="Arial"/>
          <w:bCs/>
        </w:rPr>
        <w:t xml:space="preserve"> hemodialysis with COVID</w:t>
      </w:r>
      <w:r>
        <w:rPr>
          <w:rFonts w:ascii="Times" w:hAnsi="Times" w:cs="Arial"/>
          <w:bCs/>
        </w:rPr>
        <w:t>-</w:t>
      </w:r>
      <w:r w:rsidRPr="000D1B75">
        <w:rPr>
          <w:rFonts w:ascii="Times" w:hAnsi="Times" w:cs="Arial"/>
          <w:bCs/>
        </w:rPr>
        <w:t>19 infection admitted from April 2020 to April 2022.</w:t>
      </w:r>
      <w:r>
        <w:rPr>
          <w:rFonts w:ascii="Times" w:hAnsi="Times" w:cs="Arial"/>
          <w:bCs/>
        </w:rPr>
        <w:t xml:space="preserve"> Patients were divided into those who died and those who were discharged. Sociodemographic, clinical profile, and laboratory findings were obtained from medical chart review and statistical analyses were performed</w:t>
      </w:r>
      <w:r w:rsidR="00F116E6">
        <w:rPr>
          <w:rFonts w:ascii="Times" w:hAnsi="Times"/>
        </w:rPr>
        <w:t xml:space="preserve">. </w:t>
      </w:r>
      <w:r>
        <w:rPr>
          <w:rFonts w:ascii="Times" w:hAnsi="Times"/>
        </w:rPr>
        <w:t>Binary logistic regression as well as multiple linear regression analysis were applied to determine the association between the predictors</w:t>
      </w:r>
      <w:r w:rsidR="00CC25FF">
        <w:rPr>
          <w:rFonts w:ascii="Times" w:hAnsi="Times"/>
        </w:rPr>
        <w:t>.</w:t>
      </w:r>
    </w:p>
    <w:p w14:paraId="45241159" w14:textId="2C371086" w:rsidR="001B64AB" w:rsidRDefault="001B64AB" w:rsidP="001B64AB">
      <w:pPr>
        <w:spacing w:line="240" w:lineRule="auto"/>
        <w:jc w:val="both"/>
        <w:rPr>
          <w:rFonts w:ascii="Times" w:hAnsi="Times"/>
        </w:rPr>
      </w:pPr>
      <w:r w:rsidRPr="006C56E2">
        <w:rPr>
          <w:rFonts w:ascii="Times" w:hAnsi="Times"/>
          <w:b/>
          <w:bCs/>
        </w:rPr>
        <w:t>Results</w:t>
      </w:r>
      <w:r>
        <w:rPr>
          <w:rFonts w:ascii="Times" w:hAnsi="Times"/>
        </w:rPr>
        <w:t xml:space="preserve">: A total of 46 patients on hemodialysis infected with COVID-19 met the inclusion criteria. </w:t>
      </w:r>
      <w:r w:rsidR="00873BD3">
        <w:rPr>
          <w:rFonts w:ascii="Times" w:hAnsi="Times"/>
        </w:rPr>
        <w:t>Twelve</w:t>
      </w:r>
      <w:r>
        <w:rPr>
          <w:rFonts w:ascii="Times" w:hAnsi="Times"/>
        </w:rPr>
        <w:t xml:space="preserve"> (26%) patients died with a mean hospital stay of 16 days and 34 (74%) patients recovered with a mean hospital stay of 22 days. Age (p=0.58), place of residence (OR 3.3, p=0.41), presence of comorbidity (OR 0.53, p=1) and vaccination status (OR 0.125, p=0.09) were not significantly associated with mortality. On the other hand, patients who undergo hemodialysis thrice a week were found to be 8 times more at risk for mortality as compared with those who undergo dialysis once or twice a week (OR 9.39, p=0.03). Furthermore, cardiac disease was found to be a significant predictor of the duration of hospital stay </w:t>
      </w:r>
      <m:oMath>
        <m:d>
          <m:dPr>
            <m:ctrlPr>
              <w:rPr>
                <w:rFonts w:ascii="Cambria Math" w:eastAsia="Times New Roman" w:hAnsi="Cambria Math" w:cs="Times New Roman"/>
                <w:i/>
              </w:rPr>
            </m:ctrlPr>
          </m:dPr>
          <m:e>
            <m:r>
              <w:rPr>
                <w:rFonts w:ascii="Cambria Math" w:eastAsia="Times New Roman" w:hAnsi="Cambria Math" w:cs="Times New Roman"/>
              </w:rPr>
              <m:t>U=150, p=0.0105</m:t>
            </m:r>
          </m:e>
        </m:d>
      </m:oMath>
      <w:r>
        <w:rPr>
          <w:rFonts w:ascii="Times" w:eastAsiaTheme="minorEastAsia" w:hAnsi="Times"/>
        </w:rPr>
        <w:t xml:space="preserve">. Day of illness at presentation was not significantly increased in those who died (OR 0.34, p= 0.45) but both COVID-19 severity and </w:t>
      </w:r>
      <w:proofErr w:type="spellStart"/>
      <w:r>
        <w:rPr>
          <w:rFonts w:ascii="Times" w:eastAsiaTheme="minorEastAsia" w:hAnsi="Times"/>
        </w:rPr>
        <w:t>qSOFA</w:t>
      </w:r>
      <w:proofErr w:type="spellEnd"/>
      <w:r>
        <w:rPr>
          <w:rFonts w:ascii="Times" w:eastAsiaTheme="minorEastAsia" w:hAnsi="Times"/>
        </w:rPr>
        <w:t xml:space="preserve"> score on admission were significantly increased in the mortality group (p= 0.049, p=0.04, respectively) however, binary logistic regression analysis showed that COVID-19 severity and </w:t>
      </w:r>
      <w:proofErr w:type="spellStart"/>
      <w:r>
        <w:rPr>
          <w:rFonts w:ascii="Times" w:eastAsiaTheme="minorEastAsia" w:hAnsi="Times"/>
        </w:rPr>
        <w:t>qSOFA</w:t>
      </w:r>
      <w:proofErr w:type="spellEnd"/>
      <w:r>
        <w:rPr>
          <w:rFonts w:ascii="Times" w:eastAsiaTheme="minorEastAsia" w:hAnsi="Times"/>
        </w:rPr>
        <w:t xml:space="preserve"> were not good clinical predictors of mortality. Baseline hemoglobin, lymphocyte count, inflammatory markers (CRP, LDH, d-dimer, ferritin and procalcitonin), and Pao2/Fio2 ratio were not significant clinical predictors of both mortality and duration of hospital stay. </w:t>
      </w:r>
    </w:p>
    <w:p w14:paraId="13BA5D66" w14:textId="54A99F68" w:rsidR="001B64AB" w:rsidRDefault="001B64AB" w:rsidP="001B64AB">
      <w:pPr>
        <w:spacing w:line="240" w:lineRule="auto"/>
        <w:jc w:val="both"/>
        <w:rPr>
          <w:rFonts w:ascii="Times" w:hAnsi="Times"/>
        </w:rPr>
      </w:pPr>
      <w:r w:rsidRPr="00CF51D6">
        <w:rPr>
          <w:rFonts w:ascii="Times" w:hAnsi="Times"/>
          <w:b/>
          <w:bCs/>
        </w:rPr>
        <w:t>Conclusion</w:t>
      </w:r>
      <w:r>
        <w:rPr>
          <w:rFonts w:ascii="Times" w:hAnsi="Times"/>
        </w:rPr>
        <w:t>: Identifying the factors that predict worse outcomes in CKD patients on hemodialysis</w:t>
      </w:r>
      <w:r w:rsidR="00CC25FF">
        <w:rPr>
          <w:rFonts w:ascii="Times" w:hAnsi="Times"/>
        </w:rPr>
        <w:t xml:space="preserve"> with</w:t>
      </w:r>
      <w:r>
        <w:rPr>
          <w:rFonts w:ascii="Times" w:hAnsi="Times"/>
        </w:rPr>
        <w:t xml:space="preserve"> COVID-19 infection is of paramount importance because it </w:t>
      </w:r>
      <w:r w:rsidR="00CC25FF">
        <w:rPr>
          <w:rFonts w:ascii="Times" w:hAnsi="Times"/>
        </w:rPr>
        <w:t>helps</w:t>
      </w:r>
      <w:r>
        <w:rPr>
          <w:rFonts w:ascii="Times" w:hAnsi="Times"/>
        </w:rPr>
        <w:t xml:space="preserve"> clinicians recognize </w:t>
      </w:r>
      <w:r w:rsidR="00CC25FF">
        <w:rPr>
          <w:rFonts w:ascii="Times" w:hAnsi="Times"/>
        </w:rPr>
        <w:t>which</w:t>
      </w:r>
      <w:r>
        <w:rPr>
          <w:rFonts w:ascii="Times" w:hAnsi="Times"/>
        </w:rPr>
        <w:t xml:space="preserve"> patients are at risk for progression to severe disease. In this study, thrice a week dialysis and cardiac disease were found to significantly contribute to mortality and duration of hospital stay, respectively. </w:t>
      </w:r>
    </w:p>
    <w:p w14:paraId="6F9DD244" w14:textId="77777777" w:rsidR="00F83AFC" w:rsidRDefault="00F83AFC"/>
    <w:sectPr w:rsidR="00F83A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AB"/>
    <w:rsid w:val="00030E88"/>
    <w:rsid w:val="00065D42"/>
    <w:rsid w:val="001B64AB"/>
    <w:rsid w:val="005844B0"/>
    <w:rsid w:val="00873BD3"/>
    <w:rsid w:val="009A1A13"/>
    <w:rsid w:val="00CC25FF"/>
    <w:rsid w:val="00F116E6"/>
    <w:rsid w:val="00F8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EA3889"/>
  <w15:chartTrackingRefBased/>
  <w15:docId w15:val="{F3A91B9B-C85F-7F4C-92F9-E5C8AC7A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4AB"/>
    <w:pPr>
      <w:spacing w:after="160" w:line="25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471</Words>
  <Characters>2304</Characters>
  <Application>Microsoft Office Word</Application>
  <DocSecurity>0</DocSecurity>
  <Lines>164</Lines>
  <Paragraphs>106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Amat</dc:creator>
  <cp:keywords/>
  <dc:description/>
  <cp:lastModifiedBy>Nina Amat</cp:lastModifiedBy>
  <cp:revision>3</cp:revision>
  <cp:lastPrinted>2023-01-06T02:21:00Z</cp:lastPrinted>
  <dcterms:created xsi:type="dcterms:W3CDTF">2023-01-06T02:21:00Z</dcterms:created>
  <dcterms:modified xsi:type="dcterms:W3CDTF">2023-01-06T02:23:00Z</dcterms:modified>
</cp:coreProperties>
</file>