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C5C" w:rsidRPr="005B2892" w:rsidRDefault="00D27C5C" w:rsidP="00D27C5C">
      <w:pPr>
        <w:pStyle w:val="ListParagraph"/>
        <w:ind w:left="0"/>
        <w:rPr>
          <w:rFonts w:ascii="Arial" w:hAnsi="Arial" w:cs="Arial"/>
          <w:szCs w:val="32"/>
        </w:rPr>
      </w:pPr>
      <w:r w:rsidRPr="005B2892">
        <w:rPr>
          <w:rFonts w:ascii="Arial" w:hAnsi="Arial" w:cs="Arial"/>
          <w:szCs w:val="32"/>
        </w:rPr>
        <w:t>ORIGINAL ARTICLE</w:t>
      </w:r>
    </w:p>
    <w:p w:rsidR="00D27C5C" w:rsidRDefault="00D27C5C" w:rsidP="00D27C5C">
      <w:pPr>
        <w:pStyle w:val="ListParagraph"/>
        <w:ind w:left="0"/>
        <w:jc w:val="center"/>
        <w:rPr>
          <w:rFonts w:ascii="Arial" w:hAnsi="Arial" w:cs="Arial"/>
          <w:b/>
          <w:sz w:val="28"/>
          <w:szCs w:val="32"/>
        </w:rPr>
      </w:pPr>
    </w:p>
    <w:p w:rsidR="00D27C5C" w:rsidRDefault="00D27C5C" w:rsidP="00D27C5C">
      <w:pPr>
        <w:pStyle w:val="ListParagraph"/>
        <w:ind w:left="0"/>
        <w:rPr>
          <w:rFonts w:ascii="Arial" w:hAnsi="Arial" w:cs="Arial"/>
          <w:b/>
          <w:sz w:val="28"/>
          <w:szCs w:val="32"/>
        </w:rPr>
      </w:pPr>
      <w:r w:rsidRPr="00954E3E">
        <w:rPr>
          <w:rFonts w:ascii="Arial" w:hAnsi="Arial" w:cs="Arial"/>
          <w:b/>
          <w:sz w:val="28"/>
          <w:szCs w:val="32"/>
        </w:rPr>
        <w:t>CONVERSION FROM EPOETIN ALFA TO DARBEPOETIN ALFA: DOSE EQUIVALENCE AND CLINICAL OUTCOME AMONG</w:t>
      </w:r>
      <w:r>
        <w:rPr>
          <w:rFonts w:ascii="Arial" w:hAnsi="Arial" w:cs="Arial"/>
          <w:b/>
          <w:sz w:val="28"/>
          <w:szCs w:val="32"/>
        </w:rPr>
        <w:t xml:space="preserve"> </w:t>
      </w:r>
      <w:r w:rsidRPr="00954E3E">
        <w:rPr>
          <w:rFonts w:ascii="Arial" w:hAnsi="Arial" w:cs="Arial"/>
          <w:b/>
          <w:sz w:val="28"/>
          <w:szCs w:val="32"/>
        </w:rPr>
        <w:t>HEMODIALYSIS PATIENTS AT THE NATIONAL KIDNEY AND TRANSPLANT INSTITUTE</w:t>
      </w:r>
    </w:p>
    <w:p w:rsidR="00D27C5C" w:rsidRDefault="00D27C5C" w:rsidP="00D27C5C">
      <w:pPr>
        <w:pStyle w:val="ListParagraph"/>
        <w:ind w:left="0"/>
        <w:jc w:val="center"/>
        <w:rPr>
          <w:rFonts w:ascii="Arial" w:hAnsi="Arial" w:cs="Arial"/>
          <w:b/>
          <w:sz w:val="28"/>
          <w:szCs w:val="32"/>
        </w:rPr>
      </w:pPr>
    </w:p>
    <w:p w:rsidR="00D27C5C" w:rsidRDefault="00D27C5C" w:rsidP="00D27C5C">
      <w:pPr>
        <w:jc w:val="center"/>
        <w:rPr>
          <w:rFonts w:ascii="Arial" w:hAnsi="Arial" w:cs="Arial"/>
          <w:szCs w:val="32"/>
        </w:rPr>
      </w:pPr>
      <w:r w:rsidRPr="005B2892">
        <w:rPr>
          <w:rFonts w:ascii="Arial" w:hAnsi="Arial" w:cs="Arial"/>
          <w:szCs w:val="32"/>
        </w:rPr>
        <w:t>P</w:t>
      </w:r>
      <w:r>
        <w:rPr>
          <w:rFonts w:ascii="Arial" w:hAnsi="Arial" w:cs="Arial"/>
          <w:szCs w:val="32"/>
        </w:rPr>
        <w:t>rincess</w:t>
      </w:r>
      <w:r w:rsidRPr="005B2892">
        <w:rPr>
          <w:rFonts w:ascii="Arial" w:hAnsi="Arial" w:cs="Arial"/>
          <w:szCs w:val="32"/>
        </w:rPr>
        <w:t xml:space="preserve"> J</w:t>
      </w:r>
      <w:r>
        <w:rPr>
          <w:rFonts w:ascii="Arial" w:hAnsi="Arial" w:cs="Arial"/>
          <w:szCs w:val="32"/>
        </w:rPr>
        <w:t>asmine</w:t>
      </w:r>
      <w:r w:rsidRPr="005B2892">
        <w:rPr>
          <w:rFonts w:ascii="Arial" w:hAnsi="Arial" w:cs="Arial"/>
          <w:szCs w:val="32"/>
        </w:rPr>
        <w:t xml:space="preserve"> A. M</w:t>
      </w:r>
      <w:r>
        <w:rPr>
          <w:rFonts w:ascii="Arial" w:hAnsi="Arial" w:cs="Arial"/>
          <w:szCs w:val="32"/>
        </w:rPr>
        <w:t>ala</w:t>
      </w:r>
      <w:r w:rsidRPr="005B2892">
        <w:rPr>
          <w:rFonts w:ascii="Arial" w:hAnsi="Arial" w:cs="Arial"/>
          <w:szCs w:val="32"/>
        </w:rPr>
        <w:t>, MD</w:t>
      </w:r>
      <w:r w:rsidRPr="005B2892">
        <w:rPr>
          <w:rFonts w:ascii="Arial" w:hAnsi="Arial" w:cs="Arial"/>
          <w:szCs w:val="32"/>
          <w:vertAlign w:val="superscript"/>
        </w:rPr>
        <w:t>1</w:t>
      </w:r>
      <w:r w:rsidRPr="005B2892">
        <w:rPr>
          <w:rFonts w:ascii="Arial" w:hAnsi="Arial" w:cs="Arial"/>
          <w:szCs w:val="32"/>
        </w:rPr>
        <w:t>,</w:t>
      </w:r>
    </w:p>
    <w:p w:rsidR="00D27C5C" w:rsidRPr="005B2892" w:rsidRDefault="00D27C5C" w:rsidP="00D27C5C">
      <w:pPr>
        <w:rPr>
          <w:rFonts w:ascii="Arial" w:hAnsi="Arial" w:cs="Arial"/>
          <w:szCs w:val="32"/>
          <w:vertAlign w:val="superscript"/>
        </w:rPr>
      </w:pPr>
      <w:r w:rsidRPr="005B2892">
        <w:rPr>
          <w:rFonts w:ascii="Arial" w:hAnsi="Arial" w:cs="Arial"/>
          <w:szCs w:val="32"/>
        </w:rPr>
        <w:t>M</w:t>
      </w:r>
      <w:r>
        <w:rPr>
          <w:rFonts w:ascii="Arial" w:hAnsi="Arial" w:cs="Arial"/>
          <w:szCs w:val="32"/>
        </w:rPr>
        <w:t>avic</w:t>
      </w:r>
      <w:r w:rsidRPr="005B2892">
        <w:rPr>
          <w:rFonts w:ascii="Arial" w:hAnsi="Arial" w:cs="Arial"/>
          <w:szCs w:val="32"/>
        </w:rPr>
        <w:t xml:space="preserve"> A</w:t>
      </w:r>
      <w:r>
        <w:rPr>
          <w:rFonts w:ascii="Arial" w:hAnsi="Arial" w:cs="Arial"/>
          <w:szCs w:val="32"/>
        </w:rPr>
        <w:t>thina</w:t>
      </w:r>
      <w:r w:rsidRPr="005B2892">
        <w:rPr>
          <w:rFonts w:ascii="Arial" w:hAnsi="Arial" w:cs="Arial"/>
          <w:szCs w:val="32"/>
        </w:rPr>
        <w:t xml:space="preserve"> G</w:t>
      </w:r>
      <w:r>
        <w:rPr>
          <w:rFonts w:ascii="Arial" w:hAnsi="Arial" w:cs="Arial"/>
          <w:szCs w:val="32"/>
        </w:rPr>
        <w:t>aribay</w:t>
      </w:r>
      <w:r w:rsidRPr="005B2892">
        <w:rPr>
          <w:rFonts w:ascii="Arial" w:hAnsi="Arial" w:cs="Arial"/>
          <w:szCs w:val="32"/>
        </w:rPr>
        <w:t xml:space="preserve"> MD</w:t>
      </w:r>
      <w:r w:rsidRPr="005B2892">
        <w:rPr>
          <w:rFonts w:ascii="Arial" w:hAnsi="Arial" w:cs="Arial"/>
          <w:szCs w:val="32"/>
          <w:vertAlign w:val="superscript"/>
        </w:rPr>
        <w:t xml:space="preserve"> </w:t>
      </w:r>
      <w:r>
        <w:rPr>
          <w:rFonts w:ascii="Arial" w:hAnsi="Arial" w:cs="Arial"/>
          <w:szCs w:val="32"/>
          <w:vertAlign w:val="superscript"/>
        </w:rPr>
        <w:t>2</w:t>
      </w:r>
      <w:r w:rsidRPr="005B2892">
        <w:rPr>
          <w:rFonts w:ascii="Arial" w:hAnsi="Arial" w:cs="Arial"/>
          <w:szCs w:val="32"/>
        </w:rPr>
        <w:t>, J</w:t>
      </w:r>
      <w:r>
        <w:rPr>
          <w:rFonts w:ascii="Arial" w:hAnsi="Arial" w:cs="Arial"/>
          <w:szCs w:val="32"/>
        </w:rPr>
        <w:t>eraldine</w:t>
      </w:r>
      <w:r w:rsidRPr="005B2892">
        <w:rPr>
          <w:rFonts w:ascii="Arial" w:hAnsi="Arial" w:cs="Arial"/>
          <w:szCs w:val="32"/>
        </w:rPr>
        <w:t xml:space="preserve"> R</w:t>
      </w:r>
      <w:r>
        <w:rPr>
          <w:rFonts w:ascii="Arial" w:hAnsi="Arial" w:cs="Arial"/>
          <w:szCs w:val="32"/>
        </w:rPr>
        <w:t>evilles</w:t>
      </w:r>
      <w:r w:rsidRPr="005B2892">
        <w:rPr>
          <w:rFonts w:ascii="Arial" w:hAnsi="Arial" w:cs="Arial"/>
          <w:szCs w:val="32"/>
        </w:rPr>
        <w:t>, MD</w:t>
      </w:r>
      <w:r>
        <w:rPr>
          <w:rFonts w:ascii="Arial" w:hAnsi="Arial" w:cs="Arial"/>
          <w:szCs w:val="32"/>
          <w:vertAlign w:val="superscript"/>
        </w:rPr>
        <w:t>3</w:t>
      </w:r>
      <w:r w:rsidRPr="005B2892">
        <w:rPr>
          <w:rFonts w:ascii="Arial" w:hAnsi="Arial" w:cs="Arial"/>
          <w:szCs w:val="32"/>
        </w:rPr>
        <w:t>, R</w:t>
      </w:r>
      <w:r>
        <w:rPr>
          <w:rFonts w:ascii="Arial" w:hAnsi="Arial" w:cs="Arial"/>
          <w:szCs w:val="32"/>
        </w:rPr>
        <w:t>omina</w:t>
      </w:r>
      <w:r w:rsidRPr="005B2892">
        <w:rPr>
          <w:rFonts w:ascii="Arial" w:hAnsi="Arial" w:cs="Arial"/>
          <w:szCs w:val="32"/>
        </w:rPr>
        <w:t xml:space="preserve"> A. D</w:t>
      </w:r>
      <w:r>
        <w:rPr>
          <w:rFonts w:ascii="Arial" w:hAnsi="Arial" w:cs="Arial"/>
          <w:szCs w:val="32"/>
        </w:rPr>
        <w:t>anguilan</w:t>
      </w:r>
      <w:r w:rsidRPr="005B2892">
        <w:rPr>
          <w:rFonts w:ascii="Arial" w:hAnsi="Arial" w:cs="Arial"/>
          <w:szCs w:val="32"/>
        </w:rPr>
        <w:t>, MD</w:t>
      </w:r>
      <w:r>
        <w:rPr>
          <w:rFonts w:ascii="Arial" w:hAnsi="Arial" w:cs="Arial"/>
          <w:szCs w:val="32"/>
          <w:vertAlign w:val="superscript"/>
        </w:rPr>
        <w:t>4</w:t>
      </w:r>
      <w:r w:rsidRPr="005B2892">
        <w:rPr>
          <w:rFonts w:ascii="Arial" w:hAnsi="Arial" w:cs="Arial"/>
          <w:szCs w:val="32"/>
        </w:rPr>
        <w:t>, M</w:t>
      </w:r>
      <w:r>
        <w:rPr>
          <w:rFonts w:ascii="Arial" w:hAnsi="Arial" w:cs="Arial"/>
          <w:szCs w:val="32"/>
        </w:rPr>
        <w:t>el</w:t>
      </w:r>
      <w:r w:rsidRPr="005B2892">
        <w:rPr>
          <w:rFonts w:ascii="Arial" w:hAnsi="Arial" w:cs="Arial"/>
          <w:szCs w:val="32"/>
        </w:rPr>
        <w:t>-H</w:t>
      </w:r>
      <w:r>
        <w:rPr>
          <w:rFonts w:ascii="Arial" w:hAnsi="Arial" w:cs="Arial"/>
          <w:szCs w:val="32"/>
        </w:rPr>
        <w:t>atra</w:t>
      </w:r>
      <w:r w:rsidRPr="005B2892">
        <w:rPr>
          <w:rFonts w:ascii="Arial" w:hAnsi="Arial" w:cs="Arial"/>
          <w:szCs w:val="32"/>
        </w:rPr>
        <w:t xml:space="preserve"> I. A</w:t>
      </w:r>
      <w:r>
        <w:rPr>
          <w:rFonts w:ascii="Arial" w:hAnsi="Arial" w:cs="Arial"/>
          <w:szCs w:val="32"/>
        </w:rPr>
        <w:t>rakama</w:t>
      </w:r>
      <w:r w:rsidRPr="005B2892">
        <w:rPr>
          <w:rFonts w:ascii="Arial" w:hAnsi="Arial" w:cs="Arial"/>
          <w:szCs w:val="32"/>
        </w:rPr>
        <w:t>, MD</w:t>
      </w:r>
      <w:r>
        <w:rPr>
          <w:rFonts w:ascii="Arial" w:hAnsi="Arial" w:cs="Arial"/>
          <w:szCs w:val="32"/>
          <w:vertAlign w:val="superscript"/>
        </w:rPr>
        <w:t>4</w:t>
      </w:r>
    </w:p>
    <w:p w:rsidR="00D27C5C" w:rsidRDefault="00D27C5C" w:rsidP="00D27C5C">
      <w:pPr>
        <w:pStyle w:val="ListParagraph"/>
        <w:ind w:left="0"/>
        <w:jc w:val="center"/>
        <w:rPr>
          <w:rFonts w:ascii="Arial" w:hAnsi="Arial" w:cs="Arial"/>
          <w:b/>
          <w:sz w:val="28"/>
          <w:szCs w:val="32"/>
        </w:rPr>
      </w:pPr>
    </w:p>
    <w:p w:rsidR="00D27C5C" w:rsidRDefault="00D27C5C" w:rsidP="00D27C5C">
      <w:pPr>
        <w:pStyle w:val="CommentText"/>
        <w:jc w:val="both"/>
        <w:rPr>
          <w:rFonts w:ascii="Arial" w:hAnsi="Arial" w:cs="Arial"/>
          <w:bCs/>
          <w:i/>
          <w:sz w:val="24"/>
          <w:szCs w:val="24"/>
        </w:rPr>
      </w:pPr>
      <w:r w:rsidRPr="001906F8">
        <w:rPr>
          <w:rFonts w:ascii="Arial" w:hAnsi="Arial" w:cs="Arial"/>
          <w:bCs/>
          <w:i/>
          <w:sz w:val="24"/>
          <w:szCs w:val="24"/>
          <w:vertAlign w:val="superscript"/>
        </w:rPr>
        <w:t xml:space="preserve">1 </w:t>
      </w:r>
      <w:r w:rsidRPr="001906F8">
        <w:rPr>
          <w:rFonts w:ascii="Arial" w:hAnsi="Arial" w:cs="Arial"/>
          <w:bCs/>
          <w:i/>
          <w:sz w:val="24"/>
          <w:szCs w:val="24"/>
        </w:rPr>
        <w:t>Fellow-in-Training, Department of Adult Nephrology, N</w:t>
      </w:r>
      <w:r>
        <w:rPr>
          <w:rFonts w:ascii="Arial" w:hAnsi="Arial" w:cs="Arial"/>
          <w:bCs/>
          <w:i/>
          <w:sz w:val="24"/>
          <w:szCs w:val="24"/>
        </w:rPr>
        <w:t>ational Kidney and Transplant Institute</w:t>
      </w:r>
    </w:p>
    <w:p w:rsidR="00D27C5C" w:rsidRDefault="00D27C5C" w:rsidP="00D27C5C">
      <w:pPr>
        <w:pStyle w:val="CommentText"/>
        <w:jc w:val="both"/>
        <w:rPr>
          <w:rFonts w:ascii="Arial" w:hAnsi="Arial" w:cs="Arial"/>
          <w:bCs/>
          <w:i/>
          <w:sz w:val="24"/>
          <w:szCs w:val="24"/>
          <w:vertAlign w:val="superscript"/>
        </w:rPr>
      </w:pPr>
      <w:r w:rsidRPr="00F71135">
        <w:rPr>
          <w:rFonts w:ascii="Arial" w:hAnsi="Arial" w:cs="Arial"/>
          <w:bCs/>
          <w:i/>
          <w:sz w:val="24"/>
          <w:szCs w:val="24"/>
          <w:vertAlign w:val="superscript"/>
        </w:rPr>
        <w:t>2</w:t>
      </w:r>
      <w:r w:rsidRPr="00AD3FE0">
        <w:rPr>
          <w:rFonts w:ascii="Arial" w:hAnsi="Arial" w:cs="Arial"/>
          <w:bCs/>
          <w:i/>
          <w:sz w:val="24"/>
          <w:szCs w:val="24"/>
        </w:rPr>
        <w:t xml:space="preserve"> </w:t>
      </w:r>
      <w:r w:rsidRPr="001906F8">
        <w:rPr>
          <w:rFonts w:ascii="Arial" w:hAnsi="Arial" w:cs="Arial"/>
          <w:bCs/>
          <w:i/>
          <w:sz w:val="24"/>
          <w:szCs w:val="24"/>
        </w:rPr>
        <w:t>Division of Adult Nephrology</w:t>
      </w:r>
    </w:p>
    <w:p w:rsidR="00D27C5C" w:rsidRDefault="00D27C5C" w:rsidP="00D27C5C">
      <w:pPr>
        <w:pStyle w:val="CommentText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  <w:vertAlign w:val="superscript"/>
        </w:rPr>
        <w:t>3</w:t>
      </w:r>
      <w:r w:rsidRPr="001906F8">
        <w:rPr>
          <w:rFonts w:ascii="Arial" w:hAnsi="Arial" w:cs="Arial"/>
          <w:bCs/>
          <w:i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bCs/>
          <w:i/>
          <w:sz w:val="24"/>
          <w:szCs w:val="24"/>
        </w:rPr>
        <w:t>Division of Nephrology, Cebu Doctors University Hospital</w:t>
      </w:r>
      <w:r w:rsidRPr="001906F8">
        <w:rPr>
          <w:rFonts w:ascii="Arial" w:hAnsi="Arial" w:cs="Arial"/>
          <w:bCs/>
          <w:i/>
          <w:sz w:val="24"/>
          <w:szCs w:val="24"/>
        </w:rPr>
        <w:t xml:space="preserve"> </w:t>
      </w:r>
    </w:p>
    <w:p w:rsidR="00D27C5C" w:rsidRPr="001906F8" w:rsidRDefault="00D27C5C" w:rsidP="00D27C5C">
      <w:pPr>
        <w:pStyle w:val="CommentText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  <w:vertAlign w:val="superscript"/>
        </w:rPr>
        <w:t>4</w:t>
      </w:r>
      <w:r w:rsidRPr="001906F8">
        <w:rPr>
          <w:rFonts w:ascii="Arial" w:hAnsi="Arial" w:cs="Arial"/>
          <w:bCs/>
          <w:i/>
          <w:sz w:val="24"/>
          <w:szCs w:val="24"/>
        </w:rPr>
        <w:t xml:space="preserve"> Division of Adult Nephrology, N</w:t>
      </w:r>
      <w:r>
        <w:rPr>
          <w:rFonts w:ascii="Arial" w:hAnsi="Arial" w:cs="Arial"/>
          <w:bCs/>
          <w:i/>
          <w:sz w:val="24"/>
          <w:szCs w:val="24"/>
        </w:rPr>
        <w:t>ational Kidney and Transplant Institute</w:t>
      </w:r>
    </w:p>
    <w:p w:rsidR="00D27C5C" w:rsidRDefault="00D27C5C" w:rsidP="00D27C5C">
      <w:pPr>
        <w:pStyle w:val="CommentText"/>
        <w:jc w:val="both"/>
        <w:rPr>
          <w:rFonts w:ascii="Arial" w:hAnsi="Arial" w:cs="Arial"/>
          <w:bCs/>
          <w:i/>
          <w:sz w:val="24"/>
          <w:szCs w:val="24"/>
        </w:rPr>
      </w:pPr>
    </w:p>
    <w:p w:rsidR="00D27C5C" w:rsidRPr="001906F8" w:rsidRDefault="00D27C5C" w:rsidP="00D27C5C">
      <w:pPr>
        <w:pStyle w:val="CommentText"/>
        <w:jc w:val="both"/>
        <w:rPr>
          <w:rFonts w:ascii="Arial" w:hAnsi="Arial" w:cs="Arial"/>
          <w:bCs/>
          <w:i/>
          <w:sz w:val="24"/>
          <w:szCs w:val="24"/>
        </w:rPr>
      </w:pPr>
    </w:p>
    <w:p w:rsidR="00D27C5C" w:rsidRPr="001906F8" w:rsidRDefault="00D27C5C" w:rsidP="00D27C5C">
      <w:pPr>
        <w:rPr>
          <w:rFonts w:ascii="Arial" w:hAnsi="Arial" w:cs="Arial"/>
          <w:bCs/>
          <w:i/>
        </w:rPr>
      </w:pPr>
      <w:r w:rsidRPr="001906F8">
        <w:rPr>
          <w:rFonts w:ascii="Arial" w:hAnsi="Arial" w:cs="Arial"/>
          <w:bCs/>
        </w:rPr>
        <w:t xml:space="preserve">Address: </w:t>
      </w:r>
      <w:r w:rsidRPr="001906F8">
        <w:rPr>
          <w:rFonts w:ascii="Arial" w:hAnsi="Arial" w:cs="Arial"/>
          <w:bCs/>
          <w:i/>
        </w:rPr>
        <w:t>National Kidney and Transplant Institute, East Avenue, Diliman, Quezon City, Philippines</w:t>
      </w:r>
    </w:p>
    <w:p w:rsidR="00D27C5C" w:rsidRPr="001906F8" w:rsidRDefault="00D27C5C" w:rsidP="00D27C5C">
      <w:pPr>
        <w:rPr>
          <w:rFonts w:ascii="Arial" w:hAnsi="Arial" w:cs="Arial"/>
          <w:bCs/>
        </w:rPr>
      </w:pPr>
      <w:r w:rsidRPr="001906F8">
        <w:rPr>
          <w:rFonts w:ascii="Arial" w:hAnsi="Arial" w:cs="Arial"/>
          <w:bCs/>
        </w:rPr>
        <w:t xml:space="preserve">Email: </w:t>
      </w:r>
      <w:r>
        <w:rPr>
          <w:rFonts w:ascii="Arial" w:hAnsi="Arial" w:cs="Arial"/>
          <w:bCs/>
        </w:rPr>
        <w:t>jasmine08princess</w:t>
      </w:r>
      <w:r w:rsidRPr="001906F8">
        <w:rPr>
          <w:rFonts w:ascii="Arial" w:hAnsi="Arial" w:cs="Arial"/>
          <w:bCs/>
        </w:rPr>
        <w:t>@gmail.com</w:t>
      </w:r>
    </w:p>
    <w:p w:rsidR="00D27C5C" w:rsidRPr="001906F8" w:rsidRDefault="00D27C5C" w:rsidP="00D27C5C">
      <w:pPr>
        <w:rPr>
          <w:rFonts w:ascii="Arial" w:hAnsi="Arial" w:cs="Arial"/>
          <w:bCs/>
        </w:rPr>
      </w:pPr>
      <w:r w:rsidRPr="001906F8">
        <w:rPr>
          <w:rFonts w:ascii="Arial" w:hAnsi="Arial" w:cs="Arial"/>
          <w:bCs/>
        </w:rPr>
        <w:t>Contact Number: +63917</w:t>
      </w:r>
      <w:r>
        <w:rPr>
          <w:rFonts w:ascii="Arial" w:hAnsi="Arial" w:cs="Arial"/>
          <w:bCs/>
        </w:rPr>
        <w:t>6377837/+639176890508</w:t>
      </w:r>
    </w:p>
    <w:p w:rsidR="00D27C5C" w:rsidRPr="005B2892" w:rsidRDefault="00D27C5C" w:rsidP="00D27C5C">
      <w:pPr>
        <w:pStyle w:val="ListParagraph"/>
        <w:ind w:left="0"/>
        <w:jc w:val="center"/>
        <w:rPr>
          <w:rFonts w:ascii="Arial" w:hAnsi="Arial" w:cs="Arial"/>
          <w:b/>
          <w:szCs w:val="32"/>
        </w:rPr>
      </w:pPr>
    </w:p>
    <w:p w:rsidR="00D27C5C" w:rsidRPr="005B2892" w:rsidRDefault="00D27C5C" w:rsidP="00D27C5C">
      <w:pPr>
        <w:jc w:val="center"/>
        <w:rPr>
          <w:rFonts w:ascii="Arial" w:hAnsi="Arial" w:cs="Arial"/>
          <w:b/>
          <w:szCs w:val="20"/>
        </w:rPr>
      </w:pPr>
    </w:p>
    <w:p w:rsidR="00D27C5C" w:rsidRPr="00F71135" w:rsidRDefault="00D27C5C" w:rsidP="00D27C5C">
      <w:pPr>
        <w:jc w:val="center"/>
        <w:rPr>
          <w:rFonts w:ascii="Arial" w:hAnsi="Arial" w:cs="Arial"/>
          <w:b/>
          <w:szCs w:val="20"/>
        </w:rPr>
      </w:pPr>
      <w:r w:rsidRPr="005B2892">
        <w:rPr>
          <w:rFonts w:ascii="Arial" w:hAnsi="Arial" w:cs="Arial"/>
          <w:b/>
          <w:szCs w:val="20"/>
        </w:rPr>
        <w:t>ABSTRACT</w:t>
      </w:r>
    </w:p>
    <w:p w:rsidR="00D27C5C" w:rsidRPr="00226311" w:rsidRDefault="00D27C5C" w:rsidP="00D27C5C">
      <w:pPr>
        <w:rPr>
          <w:rFonts w:ascii="Arial" w:hAnsi="Arial" w:cs="Arial"/>
          <w:sz w:val="28"/>
          <w:szCs w:val="20"/>
        </w:rPr>
      </w:pPr>
    </w:p>
    <w:p w:rsidR="00D27C5C" w:rsidRPr="005B2892" w:rsidRDefault="00D27C5C" w:rsidP="00D27C5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E101A"/>
          <w:szCs w:val="20"/>
        </w:rPr>
      </w:pPr>
      <w:r w:rsidRPr="005B2892">
        <w:rPr>
          <w:rStyle w:val="Strong"/>
          <w:rFonts w:ascii="Arial" w:hAnsi="Arial" w:cs="Arial"/>
          <w:color w:val="0E101A"/>
          <w:szCs w:val="20"/>
        </w:rPr>
        <w:t>INTRODUCTION: </w:t>
      </w:r>
      <w:r w:rsidRPr="005B2892">
        <w:rPr>
          <w:rFonts w:ascii="Arial" w:hAnsi="Arial" w:cs="Arial"/>
          <w:color w:val="0E101A"/>
          <w:szCs w:val="20"/>
        </w:rPr>
        <w:t>Long-acting</w:t>
      </w:r>
      <w:r w:rsidRPr="005B2892">
        <w:rPr>
          <w:rStyle w:val="Strong"/>
          <w:rFonts w:ascii="Arial" w:hAnsi="Arial" w:cs="Arial"/>
          <w:color w:val="0E101A"/>
          <w:szCs w:val="20"/>
        </w:rPr>
        <w:t> </w:t>
      </w:r>
      <w:r w:rsidRPr="005B2892">
        <w:rPr>
          <w:rFonts w:ascii="Arial" w:hAnsi="Arial" w:cs="Arial"/>
          <w:color w:val="0E101A"/>
          <w:szCs w:val="20"/>
        </w:rPr>
        <w:t>darbepoetin alfa (DA) was approved for use in 2001 to treat anemia associated with chronic kidney disease. Conversion of short-acting subcutaneous epoetin (EPO) to DA is recommended at a ratio of 1:250 to 1:350. This study determined the appropriate conversion ratio among Filipino dialysis patients.</w:t>
      </w:r>
    </w:p>
    <w:p w:rsidR="00D27C5C" w:rsidRPr="005B2892" w:rsidRDefault="00D27C5C" w:rsidP="00D27C5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E101A"/>
          <w:szCs w:val="20"/>
        </w:rPr>
      </w:pPr>
    </w:p>
    <w:p w:rsidR="00D27C5C" w:rsidRPr="005B2892" w:rsidRDefault="00D27C5C" w:rsidP="00D27C5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E101A"/>
          <w:szCs w:val="20"/>
        </w:rPr>
      </w:pPr>
      <w:r w:rsidRPr="005B2892">
        <w:rPr>
          <w:rFonts w:ascii="Arial" w:hAnsi="Arial" w:cs="Arial"/>
          <w:b/>
          <w:color w:val="000000" w:themeColor="text1"/>
          <w:szCs w:val="20"/>
        </w:rPr>
        <w:t>MATERIALS AND METHODS:</w:t>
      </w:r>
      <w:r w:rsidRPr="005B2892">
        <w:rPr>
          <w:rFonts w:ascii="Arial" w:hAnsi="Arial" w:cs="Arial"/>
          <w:color w:val="000000" w:themeColor="text1"/>
          <w:szCs w:val="20"/>
        </w:rPr>
        <w:t xml:space="preserve"> </w:t>
      </w:r>
      <w:r w:rsidRPr="005B2892">
        <w:rPr>
          <w:rFonts w:ascii="Arial" w:hAnsi="Arial" w:cs="Arial"/>
          <w:color w:val="000000" w:themeColor="text1"/>
          <w:szCs w:val="20"/>
        </w:rPr>
        <w:tab/>
        <w:t>This</w:t>
      </w:r>
      <w:r w:rsidRPr="005B2892">
        <w:rPr>
          <w:rFonts w:ascii="Arial" w:hAnsi="Arial" w:cs="Arial"/>
          <w:color w:val="FF0000"/>
          <w:szCs w:val="20"/>
        </w:rPr>
        <w:t xml:space="preserve"> </w:t>
      </w:r>
      <w:r w:rsidRPr="005B2892">
        <w:rPr>
          <w:rFonts w:ascii="Arial" w:hAnsi="Arial" w:cs="Arial"/>
          <w:color w:val="000000" w:themeColor="text1"/>
          <w:szCs w:val="20"/>
        </w:rPr>
        <w:t>single-center cohort of 30 stable hemodialysis patients selected by stratified random sampling were converted from short acting EPO to DA at a ratio of 1:250, given intravenously, and followed up to 3 months. Target hemoglobin (Hb) was 10-11g/dl. The efficacy and safety profile of DA (Nesp®) was determined. Paired t-test compared hemoglobin at baseline and at study end.</w:t>
      </w:r>
    </w:p>
    <w:p w:rsidR="00D27C5C" w:rsidRPr="005B2892" w:rsidRDefault="00D27C5C" w:rsidP="00D27C5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E101A"/>
          <w:szCs w:val="20"/>
        </w:rPr>
      </w:pPr>
    </w:p>
    <w:p w:rsidR="00D27C5C" w:rsidRPr="005B2892" w:rsidRDefault="00D27C5C" w:rsidP="00D27C5C">
      <w:pPr>
        <w:jc w:val="both"/>
        <w:rPr>
          <w:rFonts w:ascii="Arial" w:eastAsia="Arial" w:hAnsi="Arial" w:cs="Arial"/>
          <w:color w:val="000000" w:themeColor="text1"/>
          <w:szCs w:val="20"/>
        </w:rPr>
      </w:pPr>
      <w:r w:rsidRPr="005B2892">
        <w:rPr>
          <w:rStyle w:val="Strong"/>
          <w:rFonts w:ascii="Arial" w:hAnsi="Arial" w:cs="Arial"/>
          <w:color w:val="0E101A"/>
          <w:szCs w:val="20"/>
        </w:rPr>
        <w:t>RESULTS:</w:t>
      </w:r>
      <w:r w:rsidRPr="005B2892">
        <w:rPr>
          <w:rFonts w:ascii="Arial" w:hAnsi="Arial" w:cs="Arial"/>
          <w:color w:val="0E101A"/>
          <w:szCs w:val="20"/>
        </w:rPr>
        <w:t> </w:t>
      </w:r>
      <w:r w:rsidRPr="005B2892">
        <w:rPr>
          <w:rFonts w:ascii="Arial" w:eastAsia="Arial" w:hAnsi="Arial" w:cs="Arial"/>
          <w:color w:val="000000" w:themeColor="text1"/>
          <w:szCs w:val="20"/>
        </w:rPr>
        <w:t xml:space="preserve">Among 30 participants included in the study majority were males (66.67%) and mean age was 48 years. Baseline Hb was 10.77g/dl (± 0.59). </w:t>
      </w:r>
      <w:r w:rsidRPr="005B2892">
        <w:rPr>
          <w:rFonts w:ascii="Arial" w:eastAsia="Times New Roman" w:hAnsi="Arial" w:cs="Arial"/>
          <w:szCs w:val="20"/>
          <w:lang w:val="en-PH"/>
        </w:rPr>
        <w:t>The median weekly DA dose was 30</w:t>
      </w:r>
      <w:r w:rsidRPr="005B2892">
        <w:rPr>
          <w:rFonts w:ascii="Arial" w:hAnsi="Arial" w:cs="Arial"/>
          <w:color w:val="0E101A"/>
          <w:szCs w:val="20"/>
        </w:rPr>
        <w:t xml:space="preserve"> µg</w:t>
      </w:r>
      <w:r w:rsidRPr="005B2892">
        <w:rPr>
          <w:rFonts w:ascii="Arial" w:eastAsia="Times New Roman" w:hAnsi="Arial" w:cs="Arial"/>
          <w:szCs w:val="20"/>
          <w:lang w:val="en-PH"/>
        </w:rPr>
        <w:t xml:space="preserve"> per month, with a median dose conversion ratio </w:t>
      </w:r>
      <w:r w:rsidRPr="005B2892">
        <w:rPr>
          <w:rFonts w:ascii="Arial" w:eastAsia="Times New Roman" w:hAnsi="Arial" w:cs="Arial"/>
          <w:color w:val="000000" w:themeColor="text1"/>
          <w:szCs w:val="20"/>
          <w:lang w:val="en-PH"/>
        </w:rPr>
        <w:t>of 1:267 (IQR1:200-1:400).</w:t>
      </w:r>
      <w:r w:rsidRPr="005B2892">
        <w:rPr>
          <w:rFonts w:ascii="Arial" w:eastAsia="Arial" w:hAnsi="Arial" w:cs="Arial"/>
          <w:color w:val="000000" w:themeColor="text1"/>
          <w:szCs w:val="20"/>
        </w:rPr>
        <w:t xml:space="preserve"> The Hb remained stable compared to baseline </w:t>
      </w:r>
      <w:r w:rsidRPr="005B2892">
        <w:rPr>
          <w:rFonts w:ascii="Arial" w:eastAsia="Times New Roman" w:hAnsi="Arial" w:cs="Arial"/>
          <w:color w:val="000000" w:themeColor="text1"/>
          <w:szCs w:val="20"/>
          <w:lang w:val="en-PH"/>
        </w:rPr>
        <w:t>(p=</w:t>
      </w:r>
      <w:r w:rsidRPr="005B2892">
        <w:rPr>
          <w:rFonts w:ascii="Arial" w:eastAsia="Times New Roman" w:hAnsi="Arial" w:cs="Arial"/>
          <w:szCs w:val="20"/>
          <w:lang w:val="en-PH"/>
        </w:rPr>
        <w:t>0.804).</w:t>
      </w:r>
      <w:r w:rsidRPr="005B2892">
        <w:rPr>
          <w:rFonts w:ascii="Arial" w:eastAsia="Arial" w:hAnsi="Arial" w:cs="Arial"/>
          <w:color w:val="000000" w:themeColor="text1"/>
          <w:szCs w:val="20"/>
        </w:rPr>
        <w:t xml:space="preserve"> </w:t>
      </w:r>
      <w:r w:rsidRPr="005B2892">
        <w:rPr>
          <w:rFonts w:ascii="Arial" w:eastAsia="Times New Roman" w:hAnsi="Arial" w:cs="Arial"/>
          <w:color w:val="000000" w:themeColor="text1"/>
          <w:szCs w:val="20"/>
          <w:lang w:val="en-PH"/>
        </w:rPr>
        <w:t>About 25% of patients required some dose adjustments during the study.</w:t>
      </w:r>
      <w:r w:rsidRPr="005B2892">
        <w:rPr>
          <w:rFonts w:ascii="Arial" w:eastAsia="Arial" w:hAnsi="Arial" w:cs="Arial"/>
          <w:color w:val="000000" w:themeColor="text1"/>
          <w:szCs w:val="20"/>
        </w:rPr>
        <w:t>No adverse effects occurred while on DA.  The reduction in dosage using DA, may result in a savings of P56,062.38 per year.</w:t>
      </w:r>
    </w:p>
    <w:p w:rsidR="00D27C5C" w:rsidRPr="005B2892" w:rsidRDefault="00D27C5C" w:rsidP="00D27C5C">
      <w:pPr>
        <w:pStyle w:val="NormalWeb"/>
        <w:spacing w:before="0" w:beforeAutospacing="0" w:after="0" w:afterAutospacing="0"/>
        <w:rPr>
          <w:rStyle w:val="Strong"/>
          <w:rFonts w:ascii="Arial" w:hAnsi="Arial" w:cs="Arial"/>
          <w:color w:val="0E101A"/>
          <w:szCs w:val="20"/>
        </w:rPr>
      </w:pPr>
    </w:p>
    <w:p w:rsidR="00D27C5C" w:rsidRDefault="00D27C5C" w:rsidP="00D27C5C">
      <w:pPr>
        <w:jc w:val="both"/>
        <w:rPr>
          <w:rFonts w:ascii="Arial" w:hAnsi="Arial" w:cs="Arial"/>
          <w:color w:val="000000" w:themeColor="text1"/>
          <w:szCs w:val="20"/>
        </w:rPr>
      </w:pPr>
      <w:r w:rsidRPr="005B2892">
        <w:rPr>
          <w:rStyle w:val="Strong"/>
          <w:rFonts w:ascii="Arial" w:hAnsi="Arial" w:cs="Arial"/>
          <w:color w:val="0E101A"/>
          <w:szCs w:val="20"/>
        </w:rPr>
        <w:t>CONCLUSION:</w:t>
      </w:r>
      <w:r w:rsidRPr="005B2892">
        <w:rPr>
          <w:rFonts w:ascii="Arial" w:hAnsi="Arial" w:cs="Arial"/>
          <w:color w:val="000000" w:themeColor="text1"/>
          <w:szCs w:val="20"/>
        </w:rPr>
        <w:t> Patients on maintenance HD can be safely converted to DA at a ratio of 1:267. Dosage adjustments may be required in the early period. The lower dose requirement and intravenous route make DA an effective, safe, and well-tolerated alternative to short-acting EPO alfa. DA may provide substantial cost-savings for anemia treatment.</w:t>
      </w:r>
    </w:p>
    <w:p w:rsidR="00D27C5C" w:rsidRDefault="00D27C5C" w:rsidP="00D27C5C">
      <w:pPr>
        <w:jc w:val="both"/>
        <w:rPr>
          <w:rFonts w:ascii="Arial" w:hAnsi="Arial" w:cs="Arial"/>
          <w:color w:val="000000" w:themeColor="text1"/>
          <w:szCs w:val="20"/>
        </w:rPr>
      </w:pPr>
    </w:p>
    <w:p w:rsidR="00D27C5C" w:rsidRDefault="00D27C5C" w:rsidP="00D27C5C">
      <w:pPr>
        <w:jc w:val="both"/>
        <w:rPr>
          <w:rFonts w:ascii="Arial" w:hAnsi="Arial" w:cs="Arial"/>
          <w:color w:val="000000" w:themeColor="text1"/>
          <w:szCs w:val="20"/>
        </w:rPr>
      </w:pPr>
    </w:p>
    <w:p w:rsidR="00D27C5C" w:rsidRDefault="00D27C5C" w:rsidP="00D27C5C">
      <w:pPr>
        <w:jc w:val="both"/>
        <w:rPr>
          <w:rFonts w:ascii="Arial" w:hAnsi="Arial" w:cs="Arial"/>
          <w:color w:val="000000" w:themeColor="text1"/>
          <w:szCs w:val="20"/>
        </w:rPr>
      </w:pPr>
    </w:p>
    <w:p w:rsidR="00D27C5C" w:rsidRDefault="00D27C5C" w:rsidP="00D27C5C">
      <w:pPr>
        <w:jc w:val="both"/>
        <w:rPr>
          <w:rFonts w:ascii="Arial" w:hAnsi="Arial" w:cs="Arial"/>
          <w:color w:val="000000" w:themeColor="text1"/>
          <w:szCs w:val="20"/>
          <w:shd w:val="clear" w:color="auto" w:fill="FFFFFF"/>
        </w:rPr>
      </w:pPr>
    </w:p>
    <w:p w:rsidR="00D27C5C" w:rsidRDefault="00D27C5C" w:rsidP="00D27C5C">
      <w:pPr>
        <w:rPr>
          <w:rFonts w:ascii="Arial" w:hAnsi="Arial" w:cs="Arial"/>
          <w:szCs w:val="20"/>
        </w:rPr>
      </w:pPr>
      <w:r w:rsidRPr="005B2892">
        <w:rPr>
          <w:rFonts w:ascii="Arial" w:hAnsi="Arial" w:cs="Arial"/>
          <w:b/>
          <w:szCs w:val="20"/>
        </w:rPr>
        <w:t>Keywords:</w:t>
      </w:r>
      <w:r w:rsidRPr="005B2892">
        <w:rPr>
          <w:rFonts w:ascii="Arial" w:hAnsi="Arial" w:cs="Arial"/>
          <w:szCs w:val="20"/>
        </w:rPr>
        <w:t xml:space="preserve"> Anemia, Darbepoetin alfa, Erythropoetin</w:t>
      </w:r>
      <w:r>
        <w:rPr>
          <w:rFonts w:ascii="Arial" w:hAnsi="Arial" w:cs="Arial"/>
          <w:szCs w:val="20"/>
        </w:rPr>
        <w:t xml:space="preserve"> alfa</w:t>
      </w:r>
      <w:r w:rsidRPr="005B2892">
        <w:rPr>
          <w:rFonts w:ascii="Arial" w:hAnsi="Arial" w:cs="Arial"/>
          <w:szCs w:val="20"/>
        </w:rPr>
        <w:t>, End Stage Renal Disease, Hemodialysis</w:t>
      </w:r>
    </w:p>
    <w:p w:rsidR="008C6F6D" w:rsidRDefault="008C6F6D">
      <w:bookmarkStart w:id="0" w:name="_GoBack"/>
      <w:bookmarkEnd w:id="0"/>
    </w:p>
    <w:sectPr w:rsidR="008C6F6D" w:rsidSect="00D27C5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5C"/>
    <w:rsid w:val="00646A38"/>
    <w:rsid w:val="008C6F6D"/>
    <w:rsid w:val="00D2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3D9A8"/>
  <w14:defaultImageDpi w14:val="32767"/>
  <w15:chartTrackingRefBased/>
  <w15:docId w15:val="{A983D4E6-BE6F-9E46-ACBA-5427E2AA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7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7C5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PH"/>
    </w:rPr>
  </w:style>
  <w:style w:type="character" w:styleId="Strong">
    <w:name w:val="Strong"/>
    <w:basedOn w:val="DefaultParagraphFont"/>
    <w:uiPriority w:val="22"/>
    <w:qFormat/>
    <w:rsid w:val="00D27C5C"/>
    <w:rPr>
      <w:b/>
      <w:bCs/>
    </w:rPr>
  </w:style>
  <w:style w:type="paragraph" w:styleId="ListParagraph">
    <w:name w:val="List Paragraph"/>
    <w:basedOn w:val="Normal"/>
    <w:qFormat/>
    <w:rsid w:val="00D27C5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D27C5C"/>
    <w:rPr>
      <w:rFonts w:ascii="Times New Roman" w:eastAsia="Times New Roman" w:hAnsi="Times New Roman" w:cs="Times New Roman"/>
      <w:sz w:val="20"/>
      <w:szCs w:val="20"/>
      <w:lang w:val="en-PH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C5C"/>
    <w:rPr>
      <w:rFonts w:ascii="Times New Roman" w:eastAsia="Times New Roman" w:hAnsi="Times New Roman" w:cs="Times New Roman"/>
      <w:sz w:val="20"/>
      <w:szCs w:val="20"/>
      <w:lang w:val="en-PH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Mala</dc:creator>
  <cp:keywords/>
  <dc:description/>
  <cp:lastModifiedBy>princess Mala</cp:lastModifiedBy>
  <cp:revision>1</cp:revision>
  <dcterms:created xsi:type="dcterms:W3CDTF">2022-04-05T14:48:00Z</dcterms:created>
  <dcterms:modified xsi:type="dcterms:W3CDTF">2022-04-05T14:49:00Z</dcterms:modified>
</cp:coreProperties>
</file>