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A4CC18" w14:textId="77777777" w:rsidR="000A0351" w:rsidRPr="00C16D5A" w:rsidRDefault="000A0351" w:rsidP="002A5420">
      <w:pPr>
        <w:spacing w:line="480" w:lineRule="auto"/>
        <w:jc w:val="center"/>
        <w:rPr>
          <w:b/>
        </w:rPr>
      </w:pPr>
      <w:r w:rsidRPr="00C16D5A">
        <w:rPr>
          <w:b/>
        </w:rPr>
        <w:t>Efficacy of Skimmed Milk Administration in Mild and Moderate Hypophosphatemia (</w:t>
      </w:r>
      <w:proofErr w:type="spellStart"/>
      <w:r w:rsidRPr="00C16D5A">
        <w:rPr>
          <w:b/>
        </w:rPr>
        <w:t>SMPhos</w:t>
      </w:r>
      <w:proofErr w:type="spellEnd"/>
      <w:r w:rsidRPr="00C16D5A">
        <w:rPr>
          <w:b/>
        </w:rPr>
        <w:t>):</w:t>
      </w:r>
      <w:r w:rsidRPr="00C16D5A">
        <w:rPr>
          <w:b/>
        </w:rPr>
        <w:t xml:space="preserve"> </w:t>
      </w:r>
      <w:r w:rsidRPr="00C16D5A">
        <w:rPr>
          <w:b/>
        </w:rPr>
        <w:t>An Open-Label Randomized Controlled Clinical Trial</w:t>
      </w:r>
    </w:p>
    <w:p w14:paraId="30713810" w14:textId="2E8F5797" w:rsidR="002A5420" w:rsidRDefault="000A0351" w:rsidP="002A5420">
      <w:pPr>
        <w:spacing w:line="480" w:lineRule="auto"/>
        <w:ind w:firstLine="720"/>
        <w:jc w:val="center"/>
      </w:pPr>
      <w:r w:rsidRPr="000A0351">
        <w:rPr>
          <w:b/>
        </w:rPr>
        <w:t>Kiara Marie Padua, MD</w:t>
      </w:r>
      <w:r w:rsidR="004136F7" w:rsidRPr="004136F7">
        <w:rPr>
          <w:b/>
          <w:vertAlign w:val="superscript"/>
        </w:rPr>
        <w:t>1</w:t>
      </w:r>
      <w:r w:rsidR="002A5420">
        <w:rPr>
          <w:b/>
        </w:rPr>
        <w:t>*</w:t>
      </w:r>
      <w:r>
        <w:rPr>
          <w:b/>
        </w:rPr>
        <w:t xml:space="preserve">, </w:t>
      </w:r>
      <w:r>
        <w:t xml:space="preserve">Ivan Kenneth </w:t>
      </w:r>
      <w:proofErr w:type="spellStart"/>
      <w:r>
        <w:t>Zapanta</w:t>
      </w:r>
      <w:proofErr w:type="spellEnd"/>
      <w:r>
        <w:t>, MD</w:t>
      </w:r>
    </w:p>
    <w:p w14:paraId="0D3689EA" w14:textId="028077E3" w:rsidR="000A0351" w:rsidRPr="000A0351" w:rsidRDefault="000A0351" w:rsidP="002A5420">
      <w:pPr>
        <w:spacing w:line="480" w:lineRule="auto"/>
        <w:ind w:firstLine="720"/>
        <w:jc w:val="center"/>
        <w:rPr>
          <w:b/>
        </w:rPr>
      </w:pPr>
      <w:r>
        <w:t xml:space="preserve">Christine </w:t>
      </w:r>
      <w:proofErr w:type="spellStart"/>
      <w:r>
        <w:t>Pascual</w:t>
      </w:r>
      <w:proofErr w:type="spellEnd"/>
      <w:r>
        <w:t>, MD</w:t>
      </w:r>
      <w:r>
        <w:t xml:space="preserve">, </w:t>
      </w:r>
      <w:proofErr w:type="spellStart"/>
      <w:r>
        <w:t>Maricar</w:t>
      </w:r>
      <w:proofErr w:type="spellEnd"/>
      <w:r>
        <w:t xml:space="preserve"> </w:t>
      </w:r>
      <w:proofErr w:type="spellStart"/>
      <w:r>
        <w:t>Esculto</w:t>
      </w:r>
      <w:proofErr w:type="spellEnd"/>
      <w:r>
        <w:t>-Khan, MD</w:t>
      </w:r>
    </w:p>
    <w:p w14:paraId="00559DA5" w14:textId="77777777" w:rsidR="000A0351" w:rsidRDefault="000A0351" w:rsidP="002A5420">
      <w:pPr>
        <w:spacing w:line="480" w:lineRule="auto"/>
        <w:ind w:firstLine="720"/>
        <w:jc w:val="center"/>
        <w:rPr>
          <w:i/>
        </w:rPr>
      </w:pPr>
      <w:r w:rsidRPr="002A5420">
        <w:rPr>
          <w:i/>
        </w:rPr>
        <w:t xml:space="preserve">Makati Medical Center, </w:t>
      </w:r>
      <w:r w:rsidR="005C4AF6" w:rsidRPr="002A5420">
        <w:rPr>
          <w:i/>
        </w:rPr>
        <w:t xml:space="preserve">Makati City, </w:t>
      </w:r>
      <w:r w:rsidRPr="002A5420">
        <w:rPr>
          <w:i/>
        </w:rPr>
        <w:t>Philippines</w:t>
      </w:r>
    </w:p>
    <w:p w14:paraId="2099409E" w14:textId="4C20019D" w:rsidR="004136F7" w:rsidRPr="004136F7" w:rsidRDefault="004136F7" w:rsidP="004136F7">
      <w:pPr>
        <w:spacing w:line="480" w:lineRule="auto"/>
        <w:ind w:firstLine="720"/>
        <w:jc w:val="center"/>
      </w:pPr>
      <w:r w:rsidRPr="004136F7">
        <w:rPr>
          <w:sz w:val="20"/>
          <w:szCs w:val="20"/>
          <w:vertAlign w:val="superscript"/>
          <w:lang w:val="en-NZ"/>
        </w:rPr>
        <w:t>1</w:t>
      </w:r>
      <w:hyperlink r:id="rId5" w:history="1">
        <w:r w:rsidRPr="00FD37D9">
          <w:rPr>
            <w:rStyle w:val="Hyperlink"/>
            <w:sz w:val="20"/>
            <w:szCs w:val="20"/>
            <w:lang w:val="en-NZ"/>
          </w:rPr>
          <w:t>kiarapaduamd@gmail.com</w:t>
        </w:r>
      </w:hyperlink>
      <w:r>
        <w:rPr>
          <w:sz w:val="20"/>
          <w:szCs w:val="20"/>
          <w:lang w:val="en-NZ"/>
        </w:rPr>
        <w:t xml:space="preserve">; </w:t>
      </w:r>
      <w:r>
        <w:rPr>
          <w:sz w:val="20"/>
          <w:szCs w:val="20"/>
          <w:lang w:val="en-NZ"/>
        </w:rPr>
        <w:t>+639178251116</w:t>
      </w:r>
    </w:p>
    <w:p w14:paraId="6F8D68ED" w14:textId="77777777" w:rsidR="000A0351" w:rsidRDefault="000A0351" w:rsidP="000A0351">
      <w:pPr>
        <w:spacing w:line="480" w:lineRule="auto"/>
        <w:rPr>
          <w:b/>
        </w:rPr>
      </w:pPr>
    </w:p>
    <w:p w14:paraId="1EFF4FD3" w14:textId="77777777" w:rsidR="000A0351" w:rsidRPr="000A0351" w:rsidRDefault="000A0351" w:rsidP="000A0351">
      <w:pPr>
        <w:spacing w:line="480" w:lineRule="auto"/>
        <w:rPr>
          <w:b/>
        </w:rPr>
      </w:pPr>
      <w:r>
        <w:rPr>
          <w:b/>
        </w:rPr>
        <w:t>Abstract:</w:t>
      </w:r>
    </w:p>
    <w:p w14:paraId="43A61FF4" w14:textId="16D1C959" w:rsidR="000A0351" w:rsidRDefault="000A0351" w:rsidP="005C4AF6">
      <w:pPr>
        <w:spacing w:line="480" w:lineRule="auto"/>
        <w:ind w:firstLine="720"/>
        <w:jc w:val="both"/>
      </w:pPr>
      <w:r>
        <w:t>Currently</w:t>
      </w:r>
      <w:r>
        <w:t>,</w:t>
      </w:r>
      <w:r>
        <w:t xml:space="preserve"> there are no commercially available phosphate tablets or intravenous preparations for correction of hypophosphatemia in </w:t>
      </w:r>
      <w:r>
        <w:t>the Philippines. Hence, a</w:t>
      </w:r>
      <w:r>
        <w:t xml:space="preserve"> non-inferiority, open-label, randomized controlled pilot trial was performed at Makati Medical Center</w:t>
      </w:r>
      <w:r>
        <w:t>, a tertiary hospital in the Philippines. The study aimed</w:t>
      </w:r>
      <w:r>
        <w:t xml:space="preserve"> to compare skimmed milk with the institutionally accepted</w:t>
      </w:r>
      <w:r>
        <w:t xml:space="preserve"> formulary</w:t>
      </w:r>
      <w:r>
        <w:t xml:space="preserve"> phosphate buffer solutions in raising serum phosphorus levels in patients with mild and moderate hypophosphatemia</w:t>
      </w:r>
      <w:r w:rsidR="000272B6">
        <w:t>.</w:t>
      </w:r>
    </w:p>
    <w:p w14:paraId="5724A65C" w14:textId="77777777" w:rsidR="000A0351" w:rsidRDefault="000A0351" w:rsidP="005C4AF6">
      <w:pPr>
        <w:spacing w:line="480" w:lineRule="auto"/>
        <w:ind w:firstLine="720"/>
        <w:jc w:val="both"/>
      </w:pPr>
      <w:r>
        <w:t>A total of 41 participants were randomized. Participants randomized to skimmed milk (n = 20) were given a total of 150mL/day divided into three doses while those randomized to phosphate solution (n = 21) were given 60mL in 3-6 divided doses. Treatment difference was determined using the mean percent change between skimmed milk and phosphate solution, with the non-inferiority limit that we set at 15%. The frequency of adverse events was noted, and intention to treat was done.</w:t>
      </w:r>
    </w:p>
    <w:p w14:paraId="340F05A4" w14:textId="77777777" w:rsidR="000A0351" w:rsidRDefault="000A0351" w:rsidP="005C4AF6">
      <w:pPr>
        <w:spacing w:line="480" w:lineRule="auto"/>
        <w:ind w:firstLine="720"/>
        <w:jc w:val="both"/>
      </w:pPr>
      <w:r>
        <w:t xml:space="preserve">Results of the study showed that </w:t>
      </w:r>
      <w:r w:rsidR="005C4AF6">
        <w:t>s</w:t>
      </w:r>
      <w:r>
        <w:t>kimmed milk was able to raise serum phosphorus levels post-treatment but was not significantly different from phosphate solution (2.62 ± 0.76</w:t>
      </w:r>
      <w:r>
        <w:rPr>
          <w:b/>
        </w:rPr>
        <w:t xml:space="preserve"> </w:t>
      </w:r>
      <w:r>
        <w:t xml:space="preserve">mg/dl vs 3.02 ± 0.94, p = 0.14). The mean percent change was higher in the phosphate solution group (50.32% ± 44.4) than skimmed milk (30.93% ± 32.3) but was not statistically significant (p = </w:t>
      </w:r>
      <w:r>
        <w:lastRenderedPageBreak/>
        <w:t>0.12). The mean percent change difference between the two treatments is -19.39% (95% CI: -44.5, 5.47). There were no adverse events noted with skimmed milk, but there was an isolated episode of abdominal pain and vomiting with phosphate solution. Intention to treat analysis was done.</w:t>
      </w:r>
    </w:p>
    <w:p w14:paraId="3F5845D6" w14:textId="77777777" w:rsidR="000A0351" w:rsidRDefault="000A0351" w:rsidP="005C4AF6">
      <w:pPr>
        <w:spacing w:line="480" w:lineRule="auto"/>
        <w:ind w:firstLine="720"/>
        <w:jc w:val="both"/>
      </w:pPr>
      <w:r>
        <w:t>The key finding of our trial is that giving skimmed milk was not different from phosphate solutions in raising serum phosphorus levels in mild or moderate hypophosphatemia. Although, statistically significant non-inferiority was not met. Nevertheless, skimmed milk is still a safe, readily available, and inexpensive alternative for phosphorus correction in resource-limited areas.</w:t>
      </w:r>
    </w:p>
    <w:p w14:paraId="387BF3BE" w14:textId="77777777" w:rsidR="00637B76" w:rsidRDefault="00637B76" w:rsidP="005C4AF6">
      <w:pPr>
        <w:jc w:val="both"/>
      </w:pPr>
    </w:p>
    <w:p w14:paraId="06428111" w14:textId="77777777" w:rsidR="005C4AF6" w:rsidRDefault="005C4AF6" w:rsidP="005C4AF6">
      <w:pPr>
        <w:jc w:val="both"/>
        <w:rPr>
          <w:b/>
        </w:rPr>
      </w:pPr>
      <w:r w:rsidRPr="005C4AF6">
        <w:rPr>
          <w:b/>
        </w:rPr>
        <w:t>Author Biography:</w:t>
      </w:r>
    </w:p>
    <w:p w14:paraId="333EFB80" w14:textId="77777777" w:rsidR="0006752D" w:rsidRDefault="0006752D" w:rsidP="005C4AF6">
      <w:pPr>
        <w:jc w:val="both"/>
        <w:rPr>
          <w:b/>
        </w:rPr>
        <w:sectPr w:rsidR="0006752D" w:rsidSect="008D27DC">
          <w:pgSz w:w="12240" w:h="15840"/>
          <w:pgMar w:top="1440" w:right="1440" w:bottom="1440" w:left="1440" w:header="708" w:footer="708" w:gutter="0"/>
          <w:cols w:space="708"/>
          <w:docGrid w:linePitch="360"/>
        </w:sectPr>
      </w:pPr>
    </w:p>
    <w:p w14:paraId="2FBD8D5D" w14:textId="5F0739BD" w:rsidR="0006752D" w:rsidRDefault="0006752D" w:rsidP="005C4AF6">
      <w:pPr>
        <w:jc w:val="both"/>
        <w:rPr>
          <w:b/>
        </w:rPr>
      </w:pPr>
      <w:r>
        <w:rPr>
          <w:b/>
          <w:noProof/>
          <w:lang w:val="en-US"/>
        </w:rPr>
        <w:drawing>
          <wp:inline distT="0" distB="0" distL="0" distR="0" wp14:anchorId="0D54E94B" wp14:editId="0E43C599">
            <wp:extent cx="965835" cy="1042126"/>
            <wp:effectExtent l="0" t="0" r="0" b="0"/>
            <wp:docPr id="1" name="Picture 1" descr="../../../var/folders/82/cvntpt5j0gl199fby37t5r1m0000gn/T/ru.keepcoder.Telegram/IMAGE%202022-03-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82/cvntpt5j0gl199fby37t5r1m0000gn/T/ru.keepcoder.Telegram/IMAGE%202022-03-31%20"/>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0232" t="6247" r="17382" b="31310"/>
                    <a:stretch/>
                  </pic:blipFill>
                  <pic:spPr bwMode="auto">
                    <a:xfrm>
                      <a:off x="0" y="0"/>
                      <a:ext cx="967679" cy="1044116"/>
                    </a:xfrm>
                    <a:prstGeom prst="rect">
                      <a:avLst/>
                    </a:prstGeom>
                    <a:noFill/>
                    <a:ln>
                      <a:noFill/>
                    </a:ln>
                    <a:extLst>
                      <a:ext uri="{53640926-AAD7-44D8-BBD7-CCE9431645EC}">
                        <a14:shadowObscured xmlns:a14="http://schemas.microsoft.com/office/drawing/2010/main"/>
                      </a:ext>
                    </a:extLst>
                  </pic:spPr>
                </pic:pic>
              </a:graphicData>
            </a:graphic>
          </wp:inline>
        </w:drawing>
      </w:r>
      <w:r w:rsidRPr="00641A46">
        <w:rPr>
          <w:noProof/>
        </w:rPr>
        <w:drawing>
          <wp:inline distT="0" distB="0" distL="0" distR="0" wp14:anchorId="37356B85" wp14:editId="682B79CB">
            <wp:extent cx="1617866" cy="1018903"/>
            <wp:effectExtent l="0" t="0" r="8255" b="0"/>
            <wp:docPr id="2" name="Picture 2" descr="Makati Medical Center - IHF - International Hospital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ati Medical Center - IHF - International Hospital Federa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4961" cy="1048563"/>
                    </a:xfrm>
                    <a:prstGeom prst="rect">
                      <a:avLst/>
                    </a:prstGeom>
                    <a:noFill/>
                    <a:ln>
                      <a:noFill/>
                    </a:ln>
                  </pic:spPr>
                </pic:pic>
              </a:graphicData>
            </a:graphic>
          </wp:inline>
        </w:drawing>
      </w:r>
    </w:p>
    <w:p w14:paraId="36A0A26F" w14:textId="032124F0" w:rsidR="0006752D" w:rsidRDefault="005C4AF6" w:rsidP="004136F7">
      <w:pPr>
        <w:spacing w:line="480" w:lineRule="auto"/>
        <w:jc w:val="both"/>
      </w:pPr>
      <w:r>
        <w:t>Kiara Marie Padua graduated</w:t>
      </w:r>
      <w:r w:rsidR="00514B9E">
        <w:t xml:space="preserve"> in</w:t>
      </w:r>
      <w:r>
        <w:t xml:space="preserve"> </w:t>
      </w:r>
      <w:r w:rsidR="00514B9E">
        <w:t xml:space="preserve">Medical Technology and </w:t>
      </w:r>
      <w:r>
        <w:t xml:space="preserve">Medicine in the University of Santo Tomas, Manila, Philippines. She recently </w:t>
      </w:r>
      <w:r w:rsidR="00514B9E">
        <w:t>completed her</w:t>
      </w:r>
      <w:r>
        <w:t xml:space="preserve"> Internal Medicine</w:t>
      </w:r>
      <w:r w:rsidR="00514B9E">
        <w:t xml:space="preserve"> residency</w:t>
      </w:r>
      <w:r w:rsidR="000272B6">
        <w:t xml:space="preserve"> in </w:t>
      </w:r>
      <w:r w:rsidR="000272B6">
        <w:t>Makati Medical Center, Philippines</w:t>
      </w:r>
      <w:r>
        <w:t>, and is currently subspecializing in the practice of Nephrology in</w:t>
      </w:r>
      <w:r w:rsidR="000272B6">
        <w:t xml:space="preserve"> the same institution</w:t>
      </w:r>
      <w:r>
        <w:t>.</w:t>
      </w:r>
      <w:r w:rsidR="000272B6">
        <w:t xml:space="preserve"> She aims to fill the gaps in the healthcare system in the Philippines to </w:t>
      </w:r>
      <w:r>
        <w:t xml:space="preserve">make healthcare more accessible to all. </w:t>
      </w:r>
      <w:r>
        <w:tab/>
      </w:r>
    </w:p>
    <w:p w14:paraId="2992C1BD" w14:textId="77777777" w:rsidR="004136F7" w:rsidRDefault="004136F7" w:rsidP="004136F7">
      <w:pPr>
        <w:spacing w:line="480" w:lineRule="auto"/>
        <w:jc w:val="both"/>
      </w:pPr>
    </w:p>
    <w:p w14:paraId="105F0229" w14:textId="77777777" w:rsidR="004136F7" w:rsidRDefault="004136F7" w:rsidP="004136F7">
      <w:pPr>
        <w:spacing w:line="480" w:lineRule="auto"/>
        <w:jc w:val="both"/>
        <w:sectPr w:rsidR="004136F7" w:rsidSect="0006752D">
          <w:type w:val="continuous"/>
          <w:pgSz w:w="12240" w:h="15840"/>
          <w:pgMar w:top="1440" w:right="1440" w:bottom="1440" w:left="1440" w:header="708" w:footer="708" w:gutter="0"/>
          <w:cols w:num="2" w:space="708"/>
          <w:docGrid w:linePitch="360"/>
        </w:sectPr>
      </w:pPr>
    </w:p>
    <w:p w14:paraId="63C9690A" w14:textId="77777777" w:rsidR="0006752D" w:rsidRDefault="0006752D" w:rsidP="0006752D">
      <w:pPr>
        <w:sectPr w:rsidR="0006752D" w:rsidSect="0006752D">
          <w:type w:val="continuous"/>
          <w:pgSz w:w="12240" w:h="15840"/>
          <w:pgMar w:top="1440" w:right="1440" w:bottom="1440" w:left="1440" w:header="708" w:footer="708" w:gutter="0"/>
          <w:cols w:num="2" w:space="708"/>
          <w:docGrid w:linePitch="360"/>
        </w:sectPr>
      </w:pPr>
    </w:p>
    <w:p w14:paraId="2D1C447C" w14:textId="27E2A926" w:rsidR="002C3CCB" w:rsidRPr="004136F7" w:rsidRDefault="004136F7" w:rsidP="002C3CCB">
      <w:pPr>
        <w:autoSpaceDE w:val="0"/>
        <w:autoSpaceDN w:val="0"/>
        <w:adjustRightInd w:val="0"/>
        <w:rPr>
          <w:b/>
          <w:lang w:val="en-NZ"/>
        </w:rPr>
      </w:pPr>
      <w:r w:rsidRPr="004136F7">
        <w:rPr>
          <w:b/>
          <w:lang w:val="en-NZ"/>
        </w:rPr>
        <w:t>References:</w:t>
      </w:r>
    </w:p>
    <w:p w14:paraId="2198953E" w14:textId="77777777" w:rsidR="0078331A" w:rsidRPr="0078331A" w:rsidRDefault="0078331A" w:rsidP="0078331A">
      <w:pPr>
        <w:pStyle w:val="ListParagraph"/>
        <w:numPr>
          <w:ilvl w:val="0"/>
          <w:numId w:val="1"/>
        </w:numPr>
        <w:spacing w:after="120"/>
        <w:ind w:left="425" w:hanging="357"/>
        <w:rPr>
          <w:sz w:val="20"/>
          <w:szCs w:val="20"/>
        </w:rPr>
      </w:pPr>
      <w:proofErr w:type="spellStart"/>
      <w:r w:rsidRPr="0078331A">
        <w:rPr>
          <w:sz w:val="20"/>
          <w:szCs w:val="20"/>
        </w:rPr>
        <w:t>Engwerda</w:t>
      </w:r>
      <w:proofErr w:type="spellEnd"/>
      <w:r w:rsidRPr="0078331A">
        <w:rPr>
          <w:sz w:val="20"/>
          <w:szCs w:val="20"/>
        </w:rPr>
        <w:t xml:space="preserve">, E., van den Berg, M., </w:t>
      </w:r>
      <w:proofErr w:type="spellStart"/>
      <w:r w:rsidRPr="0078331A">
        <w:rPr>
          <w:sz w:val="20"/>
          <w:szCs w:val="20"/>
        </w:rPr>
        <w:t>Blans</w:t>
      </w:r>
      <w:proofErr w:type="spellEnd"/>
      <w:r w:rsidRPr="0078331A">
        <w:rPr>
          <w:sz w:val="20"/>
          <w:szCs w:val="20"/>
        </w:rPr>
        <w:t xml:space="preserve">, M., </w:t>
      </w:r>
      <w:proofErr w:type="spellStart"/>
      <w:r w:rsidRPr="0078331A">
        <w:rPr>
          <w:sz w:val="20"/>
          <w:szCs w:val="20"/>
        </w:rPr>
        <w:t>Bech</w:t>
      </w:r>
      <w:proofErr w:type="spellEnd"/>
      <w:r w:rsidRPr="0078331A">
        <w:rPr>
          <w:sz w:val="20"/>
          <w:szCs w:val="20"/>
        </w:rPr>
        <w:t xml:space="preserve">, A., &amp; de Boer, H. (2018). Efficacy and safety of a phosphate replacement strategy for severe hypophosphatemia in the ICU. </w:t>
      </w:r>
      <w:r w:rsidRPr="0078331A">
        <w:rPr>
          <w:i/>
          <w:sz w:val="20"/>
          <w:szCs w:val="20"/>
        </w:rPr>
        <w:t>Netherlands Journal of Medicine</w:t>
      </w:r>
      <w:r w:rsidRPr="0078331A">
        <w:rPr>
          <w:sz w:val="20"/>
          <w:szCs w:val="20"/>
        </w:rPr>
        <w:t xml:space="preserve">, </w:t>
      </w:r>
      <w:r w:rsidRPr="0078331A">
        <w:rPr>
          <w:i/>
          <w:sz w:val="20"/>
          <w:szCs w:val="20"/>
        </w:rPr>
        <w:t>76</w:t>
      </w:r>
      <w:r w:rsidRPr="0078331A">
        <w:rPr>
          <w:sz w:val="20"/>
          <w:szCs w:val="20"/>
        </w:rPr>
        <w:t>(10), 437–441.</w:t>
      </w:r>
    </w:p>
    <w:p w14:paraId="75A23B65" w14:textId="77777777" w:rsidR="0078331A" w:rsidRPr="0078331A" w:rsidRDefault="0078331A" w:rsidP="0078331A">
      <w:pPr>
        <w:pStyle w:val="ListParagraph"/>
        <w:numPr>
          <w:ilvl w:val="0"/>
          <w:numId w:val="1"/>
        </w:numPr>
        <w:spacing w:after="120"/>
        <w:ind w:left="425" w:hanging="357"/>
        <w:rPr>
          <w:sz w:val="20"/>
          <w:szCs w:val="20"/>
        </w:rPr>
      </w:pPr>
      <w:proofErr w:type="spellStart"/>
      <w:r w:rsidRPr="0078331A">
        <w:rPr>
          <w:sz w:val="20"/>
          <w:szCs w:val="20"/>
        </w:rPr>
        <w:t>Felsenfeld</w:t>
      </w:r>
      <w:proofErr w:type="spellEnd"/>
      <w:r w:rsidRPr="0078331A">
        <w:rPr>
          <w:sz w:val="20"/>
          <w:szCs w:val="20"/>
        </w:rPr>
        <w:t xml:space="preserve">, A. J., &amp; Levine, B. S. (2012). Approach to treatment of hypophosphatemia. </w:t>
      </w:r>
      <w:r w:rsidRPr="0078331A">
        <w:rPr>
          <w:i/>
          <w:sz w:val="20"/>
          <w:szCs w:val="20"/>
        </w:rPr>
        <w:t>American Journal of Kidney Diseases</w:t>
      </w:r>
      <w:r w:rsidRPr="0078331A">
        <w:rPr>
          <w:sz w:val="20"/>
          <w:szCs w:val="20"/>
        </w:rPr>
        <w:t xml:space="preserve">, </w:t>
      </w:r>
      <w:r w:rsidRPr="0078331A">
        <w:rPr>
          <w:i/>
          <w:sz w:val="20"/>
          <w:szCs w:val="20"/>
        </w:rPr>
        <w:t>60</w:t>
      </w:r>
      <w:r w:rsidRPr="0078331A">
        <w:rPr>
          <w:sz w:val="20"/>
          <w:szCs w:val="20"/>
        </w:rPr>
        <w:t>(4), 655–661. https://doi.org/10.1053/j.ajkd.2012.03.024</w:t>
      </w:r>
    </w:p>
    <w:p w14:paraId="6BCD83A8" w14:textId="77777777" w:rsidR="0078331A" w:rsidRPr="0078331A" w:rsidRDefault="0078331A" w:rsidP="0078331A">
      <w:pPr>
        <w:pStyle w:val="ListParagraph"/>
        <w:numPr>
          <w:ilvl w:val="0"/>
          <w:numId w:val="1"/>
        </w:numPr>
        <w:spacing w:after="120"/>
        <w:ind w:left="425" w:hanging="357"/>
        <w:rPr>
          <w:sz w:val="20"/>
          <w:szCs w:val="20"/>
          <w:highlight w:val="white"/>
        </w:rPr>
      </w:pPr>
      <w:r w:rsidRPr="0078331A">
        <w:rPr>
          <w:sz w:val="20"/>
          <w:szCs w:val="20"/>
        </w:rPr>
        <w:t>​​</w:t>
      </w:r>
      <w:proofErr w:type="spellStart"/>
      <w:r w:rsidRPr="0078331A">
        <w:rPr>
          <w:sz w:val="20"/>
          <w:szCs w:val="20"/>
          <w:highlight w:val="white"/>
        </w:rPr>
        <w:t>Geerse</w:t>
      </w:r>
      <w:proofErr w:type="spellEnd"/>
      <w:r w:rsidRPr="0078331A">
        <w:rPr>
          <w:sz w:val="20"/>
          <w:szCs w:val="20"/>
          <w:highlight w:val="white"/>
        </w:rPr>
        <w:t xml:space="preserve">, D. A., </w:t>
      </w:r>
      <w:proofErr w:type="spellStart"/>
      <w:r w:rsidRPr="0078331A">
        <w:rPr>
          <w:sz w:val="20"/>
          <w:szCs w:val="20"/>
          <w:highlight w:val="white"/>
        </w:rPr>
        <w:t>Bindels</w:t>
      </w:r>
      <w:proofErr w:type="spellEnd"/>
      <w:r w:rsidRPr="0078331A">
        <w:rPr>
          <w:sz w:val="20"/>
          <w:szCs w:val="20"/>
          <w:highlight w:val="white"/>
        </w:rPr>
        <w:t xml:space="preserve">, A. J., Kuiper, M. A., </w:t>
      </w:r>
      <w:proofErr w:type="spellStart"/>
      <w:r w:rsidRPr="0078331A">
        <w:rPr>
          <w:sz w:val="20"/>
          <w:szCs w:val="20"/>
          <w:highlight w:val="white"/>
        </w:rPr>
        <w:t>Roos</w:t>
      </w:r>
      <w:proofErr w:type="spellEnd"/>
      <w:r w:rsidRPr="0078331A">
        <w:rPr>
          <w:sz w:val="20"/>
          <w:szCs w:val="20"/>
          <w:highlight w:val="white"/>
        </w:rPr>
        <w:t xml:space="preserve">, A. N., </w:t>
      </w:r>
      <w:proofErr w:type="spellStart"/>
      <w:r w:rsidRPr="0078331A">
        <w:rPr>
          <w:sz w:val="20"/>
          <w:szCs w:val="20"/>
          <w:highlight w:val="white"/>
        </w:rPr>
        <w:t>Spronk</w:t>
      </w:r>
      <w:proofErr w:type="spellEnd"/>
      <w:r w:rsidRPr="0078331A">
        <w:rPr>
          <w:sz w:val="20"/>
          <w:szCs w:val="20"/>
          <w:highlight w:val="white"/>
        </w:rPr>
        <w:t xml:space="preserve">, P. E., &amp; Schultz, M. J. (2010). Treatment of hypophosphatemia in the intensive care unit: a review. </w:t>
      </w:r>
      <w:r w:rsidRPr="0078331A">
        <w:rPr>
          <w:i/>
          <w:sz w:val="20"/>
          <w:szCs w:val="20"/>
          <w:highlight w:val="white"/>
        </w:rPr>
        <w:t>Critical care (London, England)</w:t>
      </w:r>
      <w:r w:rsidRPr="0078331A">
        <w:rPr>
          <w:sz w:val="20"/>
          <w:szCs w:val="20"/>
          <w:highlight w:val="white"/>
        </w:rPr>
        <w:t xml:space="preserve">, </w:t>
      </w:r>
      <w:r w:rsidRPr="0078331A">
        <w:rPr>
          <w:i/>
          <w:sz w:val="20"/>
          <w:szCs w:val="20"/>
          <w:highlight w:val="white"/>
        </w:rPr>
        <w:t>14</w:t>
      </w:r>
      <w:r w:rsidRPr="0078331A">
        <w:rPr>
          <w:sz w:val="20"/>
          <w:szCs w:val="20"/>
          <w:highlight w:val="white"/>
        </w:rPr>
        <w:t>(4), R147. https://doi.org/10.1186/cc9215</w:t>
      </w:r>
    </w:p>
    <w:p w14:paraId="4640A883" w14:textId="77777777" w:rsidR="0078331A" w:rsidRPr="0078331A" w:rsidRDefault="0078331A" w:rsidP="0078331A">
      <w:pPr>
        <w:pStyle w:val="ListParagraph"/>
        <w:numPr>
          <w:ilvl w:val="0"/>
          <w:numId w:val="1"/>
        </w:numPr>
        <w:spacing w:after="120"/>
        <w:ind w:left="425" w:hanging="357"/>
        <w:rPr>
          <w:sz w:val="20"/>
          <w:szCs w:val="20"/>
          <w:highlight w:val="white"/>
        </w:rPr>
      </w:pPr>
      <w:r w:rsidRPr="0078331A">
        <w:rPr>
          <w:sz w:val="20"/>
          <w:szCs w:val="20"/>
          <w:highlight w:val="white"/>
        </w:rPr>
        <w:t xml:space="preserve">Huynh D., Nguyen N.Q. (2015) Intestinal Absorption and Enteral Nutrition Support During Critical Illness. In: </w:t>
      </w:r>
      <w:proofErr w:type="spellStart"/>
      <w:r w:rsidRPr="0078331A">
        <w:rPr>
          <w:sz w:val="20"/>
          <w:szCs w:val="20"/>
          <w:highlight w:val="white"/>
        </w:rPr>
        <w:t>Rajendram</w:t>
      </w:r>
      <w:proofErr w:type="spellEnd"/>
      <w:r w:rsidRPr="0078331A">
        <w:rPr>
          <w:sz w:val="20"/>
          <w:szCs w:val="20"/>
          <w:highlight w:val="white"/>
        </w:rPr>
        <w:t xml:space="preserve"> R., </w:t>
      </w:r>
      <w:proofErr w:type="spellStart"/>
      <w:r w:rsidRPr="0078331A">
        <w:rPr>
          <w:sz w:val="20"/>
          <w:szCs w:val="20"/>
          <w:highlight w:val="white"/>
        </w:rPr>
        <w:t>Preedy</w:t>
      </w:r>
      <w:proofErr w:type="spellEnd"/>
      <w:r w:rsidRPr="0078331A">
        <w:rPr>
          <w:sz w:val="20"/>
          <w:szCs w:val="20"/>
          <w:highlight w:val="white"/>
        </w:rPr>
        <w:t xml:space="preserve"> V.R., Patel V.B. (</w:t>
      </w:r>
      <w:proofErr w:type="spellStart"/>
      <w:r w:rsidRPr="0078331A">
        <w:rPr>
          <w:sz w:val="20"/>
          <w:szCs w:val="20"/>
          <w:highlight w:val="white"/>
        </w:rPr>
        <w:t>eds</w:t>
      </w:r>
      <w:proofErr w:type="spellEnd"/>
      <w:r w:rsidRPr="0078331A">
        <w:rPr>
          <w:sz w:val="20"/>
          <w:szCs w:val="20"/>
          <w:highlight w:val="white"/>
        </w:rPr>
        <w:t>) Diet and Nutrition in Critical Care. Springer, New York, NY. https://doi.org/10.1007/978-1-4614-7836-2_95</w:t>
      </w:r>
    </w:p>
    <w:p w14:paraId="398D7365" w14:textId="77777777" w:rsidR="0078331A" w:rsidRPr="0078331A" w:rsidRDefault="0078331A" w:rsidP="0078331A">
      <w:pPr>
        <w:pStyle w:val="ListParagraph"/>
        <w:numPr>
          <w:ilvl w:val="0"/>
          <w:numId w:val="1"/>
        </w:numPr>
        <w:spacing w:after="120"/>
        <w:ind w:left="425" w:hanging="357"/>
        <w:rPr>
          <w:sz w:val="20"/>
          <w:szCs w:val="20"/>
        </w:rPr>
      </w:pPr>
      <w:proofErr w:type="spellStart"/>
      <w:r w:rsidRPr="0078331A">
        <w:rPr>
          <w:sz w:val="20"/>
          <w:szCs w:val="20"/>
        </w:rPr>
        <w:t>Imel</w:t>
      </w:r>
      <w:proofErr w:type="spellEnd"/>
      <w:r w:rsidRPr="0078331A">
        <w:rPr>
          <w:sz w:val="20"/>
          <w:szCs w:val="20"/>
        </w:rPr>
        <w:t xml:space="preserve">, E. A., &amp; </w:t>
      </w:r>
      <w:proofErr w:type="spellStart"/>
      <w:r w:rsidRPr="0078331A">
        <w:rPr>
          <w:sz w:val="20"/>
          <w:szCs w:val="20"/>
        </w:rPr>
        <w:t>Econs</w:t>
      </w:r>
      <w:proofErr w:type="spellEnd"/>
      <w:r w:rsidRPr="0078331A">
        <w:rPr>
          <w:sz w:val="20"/>
          <w:szCs w:val="20"/>
        </w:rPr>
        <w:t xml:space="preserve">, M. J. (2012). Approach to the </w:t>
      </w:r>
      <w:proofErr w:type="spellStart"/>
      <w:r w:rsidRPr="0078331A">
        <w:rPr>
          <w:sz w:val="20"/>
          <w:szCs w:val="20"/>
        </w:rPr>
        <w:t>hypophosphatemic</w:t>
      </w:r>
      <w:proofErr w:type="spellEnd"/>
      <w:r w:rsidRPr="0078331A">
        <w:rPr>
          <w:sz w:val="20"/>
          <w:szCs w:val="20"/>
        </w:rPr>
        <w:t xml:space="preserve"> patient. </w:t>
      </w:r>
      <w:r w:rsidRPr="0078331A">
        <w:rPr>
          <w:i/>
          <w:sz w:val="20"/>
          <w:szCs w:val="20"/>
        </w:rPr>
        <w:t>Journal of Clinical Endocrinology and Metabolism</w:t>
      </w:r>
      <w:r w:rsidRPr="0078331A">
        <w:rPr>
          <w:sz w:val="20"/>
          <w:szCs w:val="20"/>
        </w:rPr>
        <w:t xml:space="preserve">, </w:t>
      </w:r>
      <w:r w:rsidRPr="0078331A">
        <w:rPr>
          <w:i/>
          <w:sz w:val="20"/>
          <w:szCs w:val="20"/>
        </w:rPr>
        <w:t>97</w:t>
      </w:r>
      <w:r w:rsidRPr="0078331A">
        <w:rPr>
          <w:sz w:val="20"/>
          <w:szCs w:val="20"/>
        </w:rPr>
        <w:t>(3), 696–706. https://doi.org/10.1210/jc.2011-1319</w:t>
      </w:r>
    </w:p>
    <w:p w14:paraId="0290C050" w14:textId="77777777" w:rsidR="0078331A" w:rsidRPr="0078331A" w:rsidRDefault="0078331A" w:rsidP="0078331A">
      <w:pPr>
        <w:pStyle w:val="ListParagraph"/>
        <w:numPr>
          <w:ilvl w:val="0"/>
          <w:numId w:val="1"/>
        </w:numPr>
        <w:pBdr>
          <w:top w:val="nil"/>
          <w:left w:val="nil"/>
          <w:bottom w:val="nil"/>
          <w:right w:val="nil"/>
          <w:between w:val="nil"/>
        </w:pBdr>
        <w:spacing w:after="120"/>
        <w:ind w:left="425" w:hanging="357"/>
        <w:rPr>
          <w:sz w:val="20"/>
          <w:szCs w:val="20"/>
        </w:rPr>
      </w:pPr>
      <w:r w:rsidRPr="0078331A">
        <w:rPr>
          <w:sz w:val="20"/>
          <w:szCs w:val="20"/>
        </w:rPr>
        <w:t xml:space="preserve">Jameson J, &amp; </w:t>
      </w:r>
      <w:proofErr w:type="spellStart"/>
      <w:r w:rsidRPr="0078331A">
        <w:rPr>
          <w:sz w:val="20"/>
          <w:szCs w:val="20"/>
        </w:rPr>
        <w:t>Fauci</w:t>
      </w:r>
      <w:proofErr w:type="spellEnd"/>
      <w:r w:rsidRPr="0078331A">
        <w:rPr>
          <w:sz w:val="20"/>
          <w:szCs w:val="20"/>
        </w:rPr>
        <w:t xml:space="preserve"> A.S., &amp; Kasper D.L., &amp; Hauser S.L., &amp; Longo D.L., &amp; </w:t>
      </w:r>
      <w:proofErr w:type="spellStart"/>
      <w:r w:rsidRPr="0078331A">
        <w:rPr>
          <w:sz w:val="20"/>
          <w:szCs w:val="20"/>
        </w:rPr>
        <w:t>Loscalzo</w:t>
      </w:r>
      <w:proofErr w:type="spellEnd"/>
      <w:r w:rsidRPr="0078331A">
        <w:rPr>
          <w:sz w:val="20"/>
          <w:szCs w:val="20"/>
        </w:rPr>
        <w:t xml:space="preserve"> J(Eds.), (2018). Harrison's Principles of Internal Medicine, 20e. McGraw Hill. https://accessmedicine.mhmedical.com/content.aspx?bookid=2129&amp;sectionid=159213747</w:t>
      </w:r>
    </w:p>
    <w:p w14:paraId="062E6FA5" w14:textId="77777777" w:rsidR="0078331A" w:rsidRPr="0078331A" w:rsidRDefault="0078331A" w:rsidP="0078331A">
      <w:pPr>
        <w:pStyle w:val="ListParagraph"/>
        <w:numPr>
          <w:ilvl w:val="0"/>
          <w:numId w:val="1"/>
        </w:numPr>
        <w:pBdr>
          <w:top w:val="nil"/>
          <w:left w:val="nil"/>
          <w:bottom w:val="nil"/>
          <w:right w:val="nil"/>
          <w:between w:val="nil"/>
        </w:pBdr>
        <w:spacing w:after="120"/>
        <w:ind w:left="425" w:hanging="357"/>
        <w:rPr>
          <w:sz w:val="20"/>
          <w:szCs w:val="20"/>
        </w:rPr>
      </w:pPr>
      <w:proofErr w:type="spellStart"/>
      <w:r w:rsidRPr="0078331A">
        <w:rPr>
          <w:sz w:val="20"/>
          <w:szCs w:val="20"/>
        </w:rPr>
        <w:t>Jørgensen</w:t>
      </w:r>
      <w:proofErr w:type="spellEnd"/>
      <w:r w:rsidRPr="0078331A">
        <w:rPr>
          <w:sz w:val="20"/>
          <w:szCs w:val="20"/>
        </w:rPr>
        <w:t xml:space="preserve"> CS, </w:t>
      </w:r>
      <w:proofErr w:type="spellStart"/>
      <w:r w:rsidRPr="0078331A">
        <w:rPr>
          <w:sz w:val="20"/>
          <w:szCs w:val="20"/>
        </w:rPr>
        <w:t>Poulsen</w:t>
      </w:r>
      <w:proofErr w:type="spellEnd"/>
      <w:r w:rsidRPr="0078331A">
        <w:rPr>
          <w:sz w:val="20"/>
          <w:szCs w:val="20"/>
        </w:rPr>
        <w:t xml:space="preserve"> VML, </w:t>
      </w:r>
      <w:proofErr w:type="spellStart"/>
      <w:r w:rsidRPr="0078331A">
        <w:rPr>
          <w:sz w:val="20"/>
          <w:szCs w:val="20"/>
        </w:rPr>
        <w:t>Sandahl</w:t>
      </w:r>
      <w:proofErr w:type="spellEnd"/>
      <w:r w:rsidRPr="0078331A">
        <w:rPr>
          <w:sz w:val="20"/>
          <w:szCs w:val="20"/>
        </w:rPr>
        <w:t xml:space="preserve"> M, </w:t>
      </w:r>
      <w:proofErr w:type="spellStart"/>
      <w:r w:rsidRPr="0078331A">
        <w:rPr>
          <w:sz w:val="20"/>
          <w:szCs w:val="20"/>
        </w:rPr>
        <w:t>Underbjerg</w:t>
      </w:r>
      <w:proofErr w:type="spellEnd"/>
      <w:r w:rsidRPr="0078331A">
        <w:rPr>
          <w:sz w:val="20"/>
          <w:szCs w:val="20"/>
        </w:rPr>
        <w:t xml:space="preserve"> L, </w:t>
      </w:r>
      <w:proofErr w:type="spellStart"/>
      <w:r w:rsidRPr="0078331A">
        <w:rPr>
          <w:sz w:val="20"/>
          <w:szCs w:val="20"/>
        </w:rPr>
        <w:t>Kristensen</w:t>
      </w:r>
      <w:proofErr w:type="spellEnd"/>
      <w:r w:rsidRPr="0078331A">
        <w:rPr>
          <w:sz w:val="20"/>
          <w:szCs w:val="20"/>
        </w:rPr>
        <w:t xml:space="preserve"> SB, </w:t>
      </w:r>
      <w:proofErr w:type="spellStart"/>
      <w:r w:rsidRPr="0078331A">
        <w:rPr>
          <w:sz w:val="20"/>
          <w:szCs w:val="20"/>
        </w:rPr>
        <w:t>Piec</w:t>
      </w:r>
      <w:proofErr w:type="spellEnd"/>
      <w:r w:rsidRPr="0078331A">
        <w:rPr>
          <w:sz w:val="20"/>
          <w:szCs w:val="20"/>
        </w:rPr>
        <w:t xml:space="preserve"> I, Beck-Nielsen SS, </w:t>
      </w:r>
      <w:proofErr w:type="spellStart"/>
      <w:r w:rsidRPr="0078331A">
        <w:rPr>
          <w:sz w:val="20"/>
          <w:szCs w:val="20"/>
        </w:rPr>
        <w:t>Rejnmark</w:t>
      </w:r>
      <w:proofErr w:type="spellEnd"/>
      <w:r w:rsidRPr="0078331A">
        <w:rPr>
          <w:sz w:val="20"/>
          <w:szCs w:val="20"/>
        </w:rPr>
        <w:t xml:space="preserve"> L, </w:t>
      </w:r>
      <w:proofErr w:type="spellStart"/>
      <w:r w:rsidRPr="0078331A">
        <w:rPr>
          <w:sz w:val="20"/>
          <w:szCs w:val="20"/>
        </w:rPr>
        <w:t>Birkebæk</w:t>
      </w:r>
      <w:proofErr w:type="spellEnd"/>
      <w:r w:rsidRPr="0078331A">
        <w:rPr>
          <w:sz w:val="20"/>
          <w:szCs w:val="20"/>
        </w:rPr>
        <w:t xml:space="preserve"> NH. Milk Products in the Treatment of </w:t>
      </w:r>
      <w:proofErr w:type="spellStart"/>
      <w:r w:rsidRPr="0078331A">
        <w:rPr>
          <w:sz w:val="20"/>
          <w:szCs w:val="20"/>
        </w:rPr>
        <w:t>Hypophosphatemic</w:t>
      </w:r>
      <w:proofErr w:type="spellEnd"/>
      <w:r w:rsidRPr="0078331A">
        <w:rPr>
          <w:sz w:val="20"/>
          <w:szCs w:val="20"/>
        </w:rPr>
        <w:t xml:space="preserve"> Rickets: A Pilot Study. </w:t>
      </w:r>
      <w:proofErr w:type="spellStart"/>
      <w:r w:rsidRPr="0078331A">
        <w:rPr>
          <w:sz w:val="20"/>
          <w:szCs w:val="20"/>
        </w:rPr>
        <w:t>Int</w:t>
      </w:r>
      <w:proofErr w:type="spellEnd"/>
      <w:r w:rsidRPr="0078331A">
        <w:rPr>
          <w:sz w:val="20"/>
          <w:szCs w:val="20"/>
        </w:rPr>
        <w:t xml:space="preserve"> J </w:t>
      </w:r>
      <w:proofErr w:type="spellStart"/>
      <w:r w:rsidRPr="0078331A">
        <w:rPr>
          <w:sz w:val="20"/>
          <w:szCs w:val="20"/>
        </w:rPr>
        <w:t>Endocrinol</w:t>
      </w:r>
      <w:proofErr w:type="spellEnd"/>
      <w:r w:rsidRPr="0078331A">
        <w:rPr>
          <w:sz w:val="20"/>
          <w:szCs w:val="20"/>
        </w:rPr>
        <w:t xml:space="preserve"> </w:t>
      </w:r>
      <w:proofErr w:type="spellStart"/>
      <w:r w:rsidRPr="0078331A">
        <w:rPr>
          <w:sz w:val="20"/>
          <w:szCs w:val="20"/>
        </w:rPr>
        <w:t>Metab</w:t>
      </w:r>
      <w:proofErr w:type="spellEnd"/>
      <w:r w:rsidRPr="0078331A">
        <w:rPr>
          <w:sz w:val="20"/>
          <w:szCs w:val="20"/>
        </w:rPr>
        <w:t xml:space="preserve">. 2019 Oct 6;17(4):e91454. </w:t>
      </w:r>
      <w:proofErr w:type="spellStart"/>
      <w:r w:rsidRPr="0078331A">
        <w:rPr>
          <w:sz w:val="20"/>
          <w:szCs w:val="20"/>
        </w:rPr>
        <w:t>doi</w:t>
      </w:r>
      <w:proofErr w:type="spellEnd"/>
      <w:r w:rsidRPr="0078331A">
        <w:rPr>
          <w:sz w:val="20"/>
          <w:szCs w:val="20"/>
        </w:rPr>
        <w:t>: 10.5812/ijem.91454</w:t>
      </w:r>
    </w:p>
    <w:p w14:paraId="3E7DB15C" w14:textId="77777777" w:rsidR="0078331A" w:rsidRPr="0078331A" w:rsidRDefault="0078331A" w:rsidP="0078331A">
      <w:pPr>
        <w:pStyle w:val="ListParagraph"/>
        <w:numPr>
          <w:ilvl w:val="0"/>
          <w:numId w:val="1"/>
        </w:numPr>
        <w:spacing w:after="120"/>
        <w:ind w:left="425" w:hanging="357"/>
        <w:rPr>
          <w:sz w:val="20"/>
          <w:szCs w:val="20"/>
        </w:rPr>
      </w:pPr>
      <w:proofErr w:type="spellStart"/>
      <w:r w:rsidRPr="0078331A">
        <w:rPr>
          <w:sz w:val="20"/>
          <w:szCs w:val="20"/>
          <w:highlight w:val="white"/>
        </w:rPr>
        <w:t>Kovačević</w:t>
      </w:r>
      <w:proofErr w:type="spellEnd"/>
      <w:r w:rsidRPr="0078331A">
        <w:rPr>
          <w:sz w:val="20"/>
          <w:szCs w:val="20"/>
          <w:highlight w:val="white"/>
        </w:rPr>
        <w:t xml:space="preserve"> T, </w:t>
      </w:r>
      <w:proofErr w:type="spellStart"/>
      <w:r w:rsidRPr="0078331A">
        <w:rPr>
          <w:sz w:val="20"/>
          <w:szCs w:val="20"/>
          <w:highlight w:val="white"/>
        </w:rPr>
        <w:t>Kovačević</w:t>
      </w:r>
      <w:proofErr w:type="spellEnd"/>
      <w:r w:rsidRPr="0078331A">
        <w:rPr>
          <w:sz w:val="20"/>
          <w:szCs w:val="20"/>
          <w:highlight w:val="white"/>
        </w:rPr>
        <w:t xml:space="preserve"> P, </w:t>
      </w:r>
      <w:proofErr w:type="spellStart"/>
      <w:r w:rsidRPr="0078331A">
        <w:rPr>
          <w:sz w:val="20"/>
          <w:szCs w:val="20"/>
          <w:highlight w:val="white"/>
        </w:rPr>
        <w:t>Tomić</w:t>
      </w:r>
      <w:proofErr w:type="spellEnd"/>
      <w:r w:rsidRPr="0078331A">
        <w:rPr>
          <w:sz w:val="20"/>
          <w:szCs w:val="20"/>
          <w:highlight w:val="white"/>
        </w:rPr>
        <w:t xml:space="preserve"> B, </w:t>
      </w:r>
      <w:proofErr w:type="spellStart"/>
      <w:r w:rsidRPr="0078331A">
        <w:rPr>
          <w:sz w:val="20"/>
          <w:szCs w:val="20"/>
          <w:highlight w:val="white"/>
        </w:rPr>
        <w:t>Dragić</w:t>
      </w:r>
      <w:proofErr w:type="spellEnd"/>
      <w:r w:rsidRPr="0078331A">
        <w:rPr>
          <w:sz w:val="20"/>
          <w:szCs w:val="20"/>
          <w:highlight w:val="white"/>
        </w:rPr>
        <w:t xml:space="preserve"> S, </w:t>
      </w:r>
      <w:proofErr w:type="spellStart"/>
      <w:r w:rsidRPr="0078331A">
        <w:rPr>
          <w:sz w:val="20"/>
          <w:szCs w:val="20"/>
          <w:highlight w:val="white"/>
        </w:rPr>
        <w:t>Momčičević</w:t>
      </w:r>
      <w:proofErr w:type="spellEnd"/>
      <w:r w:rsidRPr="0078331A">
        <w:rPr>
          <w:sz w:val="20"/>
          <w:szCs w:val="20"/>
          <w:highlight w:val="white"/>
        </w:rPr>
        <w:t xml:space="preserve"> D. An Alternative Approach to Treatment of Hypophosphatemia in Nonsurgical Critically Ill Patients in Countries With Limited Resources. </w:t>
      </w:r>
      <w:r w:rsidRPr="0078331A">
        <w:rPr>
          <w:i/>
          <w:sz w:val="20"/>
          <w:szCs w:val="20"/>
          <w:highlight w:val="white"/>
        </w:rPr>
        <w:t>Dose-Response</w:t>
      </w:r>
      <w:r w:rsidRPr="0078331A">
        <w:rPr>
          <w:sz w:val="20"/>
          <w:szCs w:val="20"/>
          <w:highlight w:val="white"/>
        </w:rPr>
        <w:t>. April 2019. doi:</w:t>
      </w:r>
      <w:hyperlink r:id="rId8">
        <w:r w:rsidRPr="0078331A">
          <w:rPr>
            <w:sz w:val="20"/>
            <w:szCs w:val="20"/>
            <w:highlight w:val="white"/>
          </w:rPr>
          <w:t>10.1177/1559325819850421</w:t>
        </w:r>
      </w:hyperlink>
    </w:p>
    <w:p w14:paraId="7709EB87" w14:textId="77777777" w:rsidR="0078331A" w:rsidRPr="0078331A" w:rsidRDefault="0078331A" w:rsidP="0078331A">
      <w:pPr>
        <w:pStyle w:val="ListParagraph"/>
        <w:numPr>
          <w:ilvl w:val="0"/>
          <w:numId w:val="1"/>
        </w:numPr>
        <w:spacing w:after="120"/>
        <w:ind w:left="425" w:hanging="357"/>
        <w:rPr>
          <w:sz w:val="20"/>
          <w:szCs w:val="20"/>
        </w:rPr>
      </w:pPr>
      <w:r w:rsidRPr="0078331A">
        <w:rPr>
          <w:sz w:val="20"/>
          <w:szCs w:val="20"/>
          <w:highlight w:val="white"/>
        </w:rPr>
        <w:t xml:space="preserve">Sealed Envelope Ltd. 2021. Create a blocked </w:t>
      </w:r>
      <w:proofErr w:type="spellStart"/>
      <w:r w:rsidRPr="0078331A">
        <w:rPr>
          <w:sz w:val="20"/>
          <w:szCs w:val="20"/>
          <w:highlight w:val="white"/>
        </w:rPr>
        <w:t>randomisation</w:t>
      </w:r>
      <w:proofErr w:type="spellEnd"/>
      <w:r w:rsidRPr="0078331A">
        <w:rPr>
          <w:sz w:val="20"/>
          <w:szCs w:val="20"/>
          <w:highlight w:val="white"/>
        </w:rPr>
        <w:t xml:space="preserve"> list. [Online] Available from: https://www.sealedenvelope.com/simple-randomiser/v1/lists [Accessed 7 Nov 2021].</w:t>
      </w:r>
    </w:p>
    <w:p w14:paraId="529D9825" w14:textId="77777777" w:rsidR="0078331A" w:rsidRPr="0078331A" w:rsidRDefault="0078331A" w:rsidP="0078331A">
      <w:pPr>
        <w:pStyle w:val="ListParagraph"/>
        <w:numPr>
          <w:ilvl w:val="0"/>
          <w:numId w:val="1"/>
        </w:numPr>
        <w:spacing w:after="120"/>
        <w:ind w:left="425" w:hanging="357"/>
        <w:rPr>
          <w:sz w:val="20"/>
          <w:szCs w:val="20"/>
        </w:rPr>
      </w:pPr>
      <w:r w:rsidRPr="0078331A">
        <w:rPr>
          <w:sz w:val="20"/>
          <w:szCs w:val="20"/>
        </w:rPr>
        <w:t xml:space="preserve">Taylor, B. E., Huey, W. Y., Buchman, T. G., Boyle, W. A., &amp; </w:t>
      </w:r>
      <w:proofErr w:type="spellStart"/>
      <w:r w:rsidRPr="0078331A">
        <w:rPr>
          <w:sz w:val="20"/>
          <w:szCs w:val="20"/>
        </w:rPr>
        <w:t>Coopersmith</w:t>
      </w:r>
      <w:proofErr w:type="spellEnd"/>
      <w:r w:rsidRPr="0078331A">
        <w:rPr>
          <w:sz w:val="20"/>
          <w:szCs w:val="20"/>
        </w:rPr>
        <w:t xml:space="preserve">, C. M. (2004). Treatment of hypophosphatemia using a protocol based on patient weight and serum phosphorus level in a surgical intensive care unit. </w:t>
      </w:r>
      <w:r w:rsidRPr="0078331A">
        <w:rPr>
          <w:i/>
          <w:sz w:val="20"/>
          <w:szCs w:val="20"/>
        </w:rPr>
        <w:t>Journal of the American College of Surgeons</w:t>
      </w:r>
      <w:r w:rsidRPr="0078331A">
        <w:rPr>
          <w:sz w:val="20"/>
          <w:szCs w:val="20"/>
        </w:rPr>
        <w:t xml:space="preserve">, </w:t>
      </w:r>
      <w:r w:rsidRPr="0078331A">
        <w:rPr>
          <w:i/>
          <w:sz w:val="20"/>
          <w:szCs w:val="20"/>
        </w:rPr>
        <w:t>198</w:t>
      </w:r>
      <w:r w:rsidRPr="0078331A">
        <w:rPr>
          <w:sz w:val="20"/>
          <w:szCs w:val="20"/>
        </w:rPr>
        <w:t>(2), 198–204. https://doi.org/10.1016/j.jamcollsurg.2003.09.013</w:t>
      </w:r>
    </w:p>
    <w:p w14:paraId="02E2B842" w14:textId="77777777" w:rsidR="0078331A" w:rsidRPr="0078331A" w:rsidRDefault="0078331A" w:rsidP="0078331A">
      <w:pPr>
        <w:pStyle w:val="ListParagraph"/>
        <w:numPr>
          <w:ilvl w:val="0"/>
          <w:numId w:val="1"/>
        </w:numPr>
        <w:spacing w:after="120"/>
        <w:ind w:left="425" w:hanging="357"/>
        <w:rPr>
          <w:sz w:val="20"/>
          <w:szCs w:val="20"/>
        </w:rPr>
      </w:pPr>
      <w:proofErr w:type="spellStart"/>
      <w:r w:rsidRPr="0078331A">
        <w:rPr>
          <w:sz w:val="20"/>
          <w:szCs w:val="20"/>
        </w:rPr>
        <w:t>Viechtbauer</w:t>
      </w:r>
      <w:proofErr w:type="spellEnd"/>
      <w:r w:rsidRPr="0078331A">
        <w:rPr>
          <w:sz w:val="20"/>
          <w:szCs w:val="20"/>
        </w:rPr>
        <w:t xml:space="preserve">, Wolfgang, et al. “A Simple Formula for the Calculation of Sample Size in Pilot Studies.” Journal of Clinical Epidemiology, vol. 68, no. 11, 2015, pp. 1375–1379., doi:10.1016/j.jclinepi.2015.04.014. </w:t>
      </w:r>
    </w:p>
    <w:p w14:paraId="4EC37645" w14:textId="77777777" w:rsidR="0078331A" w:rsidRPr="0078331A" w:rsidRDefault="0078331A" w:rsidP="0078331A">
      <w:pPr>
        <w:pStyle w:val="ListParagraph"/>
        <w:numPr>
          <w:ilvl w:val="0"/>
          <w:numId w:val="1"/>
        </w:numPr>
        <w:spacing w:after="120"/>
        <w:ind w:left="425" w:hanging="357"/>
        <w:rPr>
          <w:sz w:val="20"/>
          <w:szCs w:val="20"/>
        </w:rPr>
      </w:pPr>
      <w:r w:rsidRPr="0078331A">
        <w:rPr>
          <w:sz w:val="20"/>
          <w:szCs w:val="20"/>
        </w:rPr>
        <w:t xml:space="preserve">Yu, A., </w:t>
      </w:r>
      <w:proofErr w:type="spellStart"/>
      <w:r w:rsidRPr="0078331A">
        <w:rPr>
          <w:sz w:val="20"/>
          <w:szCs w:val="20"/>
        </w:rPr>
        <w:t>Chertow</w:t>
      </w:r>
      <w:proofErr w:type="spellEnd"/>
      <w:r w:rsidRPr="0078331A">
        <w:rPr>
          <w:sz w:val="20"/>
          <w:szCs w:val="20"/>
        </w:rPr>
        <w:t xml:space="preserve">, G., </w:t>
      </w:r>
      <w:proofErr w:type="spellStart"/>
      <w:r w:rsidRPr="0078331A">
        <w:rPr>
          <w:sz w:val="20"/>
          <w:szCs w:val="20"/>
        </w:rPr>
        <w:t>Luyck</w:t>
      </w:r>
      <w:proofErr w:type="spellEnd"/>
      <w:r w:rsidRPr="0078331A">
        <w:rPr>
          <w:sz w:val="20"/>
          <w:szCs w:val="20"/>
        </w:rPr>
        <w:t xml:space="preserve">, V., Marsden, P., </w:t>
      </w:r>
      <w:proofErr w:type="spellStart"/>
      <w:r w:rsidRPr="0078331A">
        <w:rPr>
          <w:sz w:val="20"/>
          <w:szCs w:val="20"/>
        </w:rPr>
        <w:t>Skorecki</w:t>
      </w:r>
      <w:proofErr w:type="spellEnd"/>
      <w:r w:rsidRPr="0078331A">
        <w:rPr>
          <w:sz w:val="20"/>
          <w:szCs w:val="20"/>
        </w:rPr>
        <w:t xml:space="preserve">, K., &amp; </w:t>
      </w:r>
      <w:proofErr w:type="spellStart"/>
      <w:r w:rsidRPr="0078331A">
        <w:rPr>
          <w:sz w:val="20"/>
          <w:szCs w:val="20"/>
        </w:rPr>
        <w:t>Taal</w:t>
      </w:r>
      <w:proofErr w:type="spellEnd"/>
      <w:r w:rsidRPr="0078331A">
        <w:rPr>
          <w:sz w:val="20"/>
          <w:szCs w:val="20"/>
        </w:rPr>
        <w:t xml:space="preserve">, M. (2019). </w:t>
      </w:r>
      <w:r w:rsidRPr="0078331A">
        <w:rPr>
          <w:i/>
          <w:sz w:val="20"/>
          <w:szCs w:val="20"/>
        </w:rPr>
        <w:t>Brenner and Rector’s The Kidney</w:t>
      </w:r>
      <w:r w:rsidRPr="0078331A">
        <w:rPr>
          <w:sz w:val="20"/>
          <w:szCs w:val="20"/>
        </w:rPr>
        <w:t xml:space="preserve"> (11th ed.). Elsevier.</w:t>
      </w:r>
    </w:p>
    <w:p w14:paraId="3B9D1B0C" w14:textId="77777777" w:rsidR="0078331A" w:rsidRPr="0078331A" w:rsidRDefault="0078331A" w:rsidP="0078331A">
      <w:pPr>
        <w:pStyle w:val="ListParagraph"/>
        <w:numPr>
          <w:ilvl w:val="0"/>
          <w:numId w:val="1"/>
        </w:numPr>
        <w:spacing w:before="240" w:after="120"/>
        <w:ind w:left="425" w:hanging="357"/>
        <w:rPr>
          <w:sz w:val="20"/>
          <w:szCs w:val="20"/>
        </w:rPr>
      </w:pPr>
      <w:r w:rsidRPr="0078331A">
        <w:rPr>
          <w:sz w:val="20"/>
          <w:szCs w:val="20"/>
        </w:rPr>
        <w:t xml:space="preserve">Yu, Alan SL, and Jason R Stubbs. “Hypophosphatemia: Causes of Hypophosphatemia.” </w:t>
      </w:r>
      <w:proofErr w:type="spellStart"/>
      <w:r w:rsidRPr="0078331A">
        <w:rPr>
          <w:i/>
          <w:sz w:val="20"/>
          <w:szCs w:val="20"/>
        </w:rPr>
        <w:t>Uptodate</w:t>
      </w:r>
      <w:proofErr w:type="spellEnd"/>
      <w:r w:rsidRPr="0078331A">
        <w:rPr>
          <w:sz w:val="20"/>
          <w:szCs w:val="20"/>
        </w:rPr>
        <w:t xml:space="preserve">, 12 Mar. 2020, www.uptodate.com/contents/hypophosphatemia-causes-of-hypophosphatemia. </w:t>
      </w:r>
    </w:p>
    <w:p w14:paraId="3D7FF0DE" w14:textId="77777777" w:rsidR="004136F7" w:rsidRPr="0078331A" w:rsidRDefault="004136F7" w:rsidP="002C3CCB">
      <w:pPr>
        <w:autoSpaceDE w:val="0"/>
        <w:autoSpaceDN w:val="0"/>
        <w:adjustRightInd w:val="0"/>
        <w:rPr>
          <w:sz w:val="20"/>
          <w:szCs w:val="20"/>
          <w:lang w:val="en-NZ"/>
        </w:rPr>
      </w:pPr>
      <w:bookmarkStart w:id="0" w:name="_GoBack"/>
      <w:bookmarkEnd w:id="0"/>
    </w:p>
    <w:sectPr w:rsidR="004136F7" w:rsidRPr="0078331A" w:rsidSect="0006752D">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9D75B3"/>
    <w:multiLevelType w:val="hybridMultilevel"/>
    <w:tmpl w:val="3738A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351"/>
    <w:rsid w:val="000272B6"/>
    <w:rsid w:val="0006752D"/>
    <w:rsid w:val="000A0351"/>
    <w:rsid w:val="00103C96"/>
    <w:rsid w:val="002A5420"/>
    <w:rsid w:val="002C3CCB"/>
    <w:rsid w:val="004136F7"/>
    <w:rsid w:val="00514B9E"/>
    <w:rsid w:val="005C4AF6"/>
    <w:rsid w:val="00637B76"/>
    <w:rsid w:val="0078331A"/>
    <w:rsid w:val="008D27DC"/>
    <w:rsid w:val="00C16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DA3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351"/>
    <w:rPr>
      <w:rFonts w:ascii="Times New Roman" w:eastAsia="Times New Roman" w:hAnsi="Times New Roman" w:cs="Times New Roman"/>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3C96"/>
    <w:rPr>
      <w:color w:val="0563C1" w:themeColor="hyperlink"/>
      <w:u w:val="single"/>
    </w:rPr>
  </w:style>
  <w:style w:type="character" w:styleId="FollowedHyperlink">
    <w:name w:val="FollowedHyperlink"/>
    <w:basedOn w:val="DefaultParagraphFont"/>
    <w:uiPriority w:val="99"/>
    <w:semiHidden/>
    <w:unhideWhenUsed/>
    <w:rsid w:val="0006752D"/>
    <w:rPr>
      <w:color w:val="954F72" w:themeColor="followedHyperlink"/>
      <w:u w:val="single"/>
    </w:rPr>
  </w:style>
  <w:style w:type="paragraph" w:styleId="ListParagraph">
    <w:name w:val="List Paragraph"/>
    <w:basedOn w:val="Normal"/>
    <w:uiPriority w:val="34"/>
    <w:qFormat/>
    <w:rsid w:val="00783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kiarapaduamd@gmail.com" TargetMode="Externa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hyperlink" Target="https://doi.org/10.1177/1559325819850421"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4917</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2022-03-31T09:52:00Z</dcterms:created>
  <dcterms:modified xsi:type="dcterms:W3CDTF">2022-03-31T09:52:00Z</dcterms:modified>
</cp:coreProperties>
</file>