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1D2621">
      <w:pPr>
        <w:spacing w:line="360" w:lineRule="auto"/>
        <w:jc w:val="both"/>
        <w:rPr>
          <w:rFonts w:ascii="Times New Roman" w:hAnsi="Times New Roman" w:cs="Times New Roman"/>
          <w:b/>
          <w:sz w:val="24"/>
          <w:szCs w:val="24"/>
        </w:rPr>
      </w:pPr>
      <w:r>
        <w:rPr>
          <w:rFonts w:ascii="Times New Roman" w:hAnsi="Times New Roman" w:eastAsia="Times New Roman" w:cs="Times New Roman"/>
          <w:b/>
          <w:bCs/>
          <w:sz w:val="24"/>
          <w:szCs w:val="24"/>
        </w:rPr>
        <w:t>Prescribing Pattern</w:t>
      </w:r>
      <w:r>
        <w:rPr>
          <w:rFonts w:ascii="Times New Roman" w:hAnsi="Times New Roman" w:eastAsia="Times New Roman" w:cs="Times New Roman"/>
          <w:b/>
          <w:sz w:val="24"/>
          <w:szCs w:val="24"/>
        </w:rPr>
        <w:t xml:space="preserve"> of</w:t>
      </w:r>
      <w:r>
        <w:rPr>
          <w:rFonts w:ascii="Times New Roman" w:hAnsi="Times New Roman" w:eastAsia="Times New Roman" w:cs="Times New Roman"/>
          <w:sz w:val="24"/>
          <w:szCs w:val="24"/>
        </w:rPr>
        <w:t xml:space="preserve">  </w:t>
      </w:r>
      <w:r>
        <w:rPr>
          <w:rFonts w:ascii="Times New Roman" w:hAnsi="Times New Roman" w:eastAsia="Times New Roman" w:cs="Times New Roman"/>
          <w:b/>
          <w:sz w:val="24"/>
          <w:szCs w:val="24"/>
        </w:rPr>
        <w:t>Antihypertensives in  Hypertensive Patients with Chronic Kidney Disease in a Tertiary Care Hospital in Bangladesh</w:t>
      </w:r>
      <w:r>
        <w:rPr>
          <w:rFonts w:ascii="Times New Roman" w:hAnsi="Times New Roman" w:cs="Times New Roman"/>
          <w:b/>
          <w:sz w:val="24"/>
          <w:szCs w:val="24"/>
        </w:rPr>
        <w:t xml:space="preserve"> </w:t>
      </w:r>
    </w:p>
    <w:p w14:paraId="4B4F2DBF">
      <w:pPr>
        <w:spacing w:before="240" w:after="240" w:line="360" w:lineRule="auto"/>
        <w:jc w:val="both"/>
        <w:rPr>
          <w:rFonts w:ascii="Times New Roman" w:hAnsi="Times New Roman" w:cs="Times New Roman"/>
          <w:sz w:val="24"/>
          <w:szCs w:val="24"/>
        </w:rPr>
      </w:pPr>
      <w:bookmarkStart w:id="0" w:name="_GoBack"/>
      <w:bookmarkEnd w:id="0"/>
    </w:p>
    <w:p w14:paraId="6A981988">
      <w:pPr>
        <w:spacing w:before="240" w:after="240" w:line="360" w:lineRule="auto"/>
        <w:jc w:val="both"/>
        <w:rPr>
          <w:rFonts w:ascii="Times New Roman" w:hAnsi="Times New Roman" w:cs="Times New Roman"/>
          <w:b/>
          <w:color w:val="231F1F"/>
          <w:sz w:val="24"/>
          <w:szCs w:val="24"/>
        </w:rPr>
      </w:pPr>
      <w:r>
        <w:rPr>
          <w:rFonts w:ascii="Times New Roman" w:hAnsi="Times New Roman" w:cs="Times New Roman"/>
          <w:b/>
          <w:bCs/>
          <w:sz w:val="24"/>
          <w:szCs w:val="24"/>
        </w:rPr>
        <w:t>Abstract:</w:t>
      </w:r>
      <w:r>
        <w:rPr>
          <w:rFonts w:ascii="Times New Roman" w:hAnsi="Times New Roman" w:cs="Times New Roman"/>
          <w:b/>
          <w:color w:val="231F1F"/>
          <w:sz w:val="24"/>
          <w:szCs w:val="24"/>
        </w:rPr>
        <w:t xml:space="preserve"> </w:t>
      </w:r>
    </w:p>
    <w:p w14:paraId="7423CE5D">
      <w:pPr>
        <w:spacing w:after="0" w:line="360" w:lineRule="auto"/>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Background</w:t>
      </w:r>
    </w:p>
    <w:p w14:paraId="5A34EF4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Hypertension (HTN) is both a cause and effect of Chronic Kidney Disease (CKD) and affects the vast majority of CKD patients. HTN control is important for those patients who are suffering from CKD. The risk and progression of CKD may reduce by controlling HTN.</w:t>
      </w:r>
      <w:r>
        <w:rPr>
          <w:rFonts w:ascii="Times New Roman" w:hAnsi="Times New Roman" w:eastAsia="Times New Roman" w:cs="Times New Roman"/>
          <w:sz w:val="24"/>
          <w:szCs w:val="24"/>
          <w:vertAlign w:val="superscript"/>
        </w:rPr>
        <w:t xml:space="preserve"> </w:t>
      </w:r>
      <w:r>
        <w:rPr>
          <w:rFonts w:ascii="Times New Roman" w:hAnsi="Times New Roman" w:eastAsia="Times New Roman" w:cs="Times New Roman"/>
          <w:sz w:val="24"/>
          <w:szCs w:val="24"/>
        </w:rPr>
        <w:t xml:space="preserve">Now a days CKD is globally increasingly prevalent condition and is strongly associated with circumstance of cardiovascular disease (CVD). CKD is a rising health problem and one of the major causes of mortality. Control of HTN plays a major role in preventing its progression to end stage kidney disease and death. The objectives of the study were to evaluate the class, dosing schedule of </w:t>
      </w:r>
      <w:r>
        <w:rPr>
          <w:rFonts w:ascii="Times New Roman" w:hAnsi="Times New Roman" w:eastAsia="Times New Roman" w:cs="Times New Roman"/>
          <w:sz w:val="24"/>
          <w:szCs w:val="24"/>
          <w:lang w:val="en-US"/>
        </w:rPr>
        <w:t>anti hypertensive</w:t>
      </w:r>
      <w:r>
        <w:rPr>
          <w:rFonts w:ascii="Times New Roman" w:hAnsi="Times New Roman" w:eastAsia="Times New Roman" w:cs="Times New Roman"/>
          <w:sz w:val="24"/>
          <w:szCs w:val="24"/>
        </w:rPr>
        <w:t xml:space="preserve"> prescribed in CKD and the percentage of </w:t>
      </w:r>
      <w:r>
        <w:rPr>
          <w:rFonts w:ascii="Times New Roman" w:hAnsi="Times New Roman" w:eastAsia="Times New Roman" w:cs="Times New Roman"/>
          <w:sz w:val="24"/>
          <w:szCs w:val="24"/>
          <w:lang w:val="en-US"/>
        </w:rPr>
        <w:t>mono therapy</w:t>
      </w:r>
      <w:r>
        <w:rPr>
          <w:rFonts w:ascii="Times New Roman" w:hAnsi="Times New Roman" w:eastAsia="Times New Roman" w:cs="Times New Roman"/>
          <w:sz w:val="24"/>
          <w:szCs w:val="24"/>
        </w:rPr>
        <w:t xml:space="preserve"> and combination therapy.</w:t>
      </w:r>
    </w:p>
    <w:p w14:paraId="355353E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lang w:val="en-GB"/>
        </w:rPr>
        <w:t>Material and methods</w:t>
      </w:r>
      <w:r>
        <w:rPr>
          <w:rFonts w:ascii="Times New Roman" w:hAnsi="Times New Roman" w:eastAsia="Times New Roman" w:cs="Times New Roman"/>
          <w:sz w:val="24"/>
          <w:szCs w:val="24"/>
          <w:lang w:val="en-GB"/>
        </w:rPr>
        <w:t>: A cross-sectional, observational study conducted in the Department of Pharmacology in collaboration with the Department of Nephrology out patients’ Department in Mymensingh Medical College Hospital, Mymensingh.</w:t>
      </w:r>
    </w:p>
    <w:p w14:paraId="3DCA6BF6">
      <w:pPr>
        <w:spacing w:after="0" w:line="360" w:lineRule="auto"/>
        <w:jc w:val="both"/>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 xml:space="preserve">Results: </w:t>
      </w:r>
      <w:r>
        <w:rPr>
          <w:rFonts w:ascii="Times New Roman" w:hAnsi="Times New Roman" w:cs="Times New Roman"/>
          <w:bCs/>
          <w:sz w:val="24"/>
          <w:szCs w:val="24"/>
        </w:rPr>
        <w:t>Most commonly used single drug is CCB (13.27%) and most commonly used combination therapy is CCBs + ARB.</w:t>
      </w:r>
    </w:p>
    <w:p w14:paraId="02BC0F41">
      <w:pPr>
        <w:spacing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Conclusion: </w:t>
      </w:r>
      <w:r>
        <w:rPr>
          <w:rFonts w:ascii="Times New Roman" w:hAnsi="Times New Roman" w:cs="Times New Roman"/>
          <w:sz w:val="24"/>
          <w:szCs w:val="24"/>
          <w:lang w:val="en-GB"/>
        </w:rPr>
        <w:t>It is concluded that in CKD with HTN,</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majority of patients were treated with combination therapy. </w:t>
      </w:r>
      <w:r>
        <w:rPr>
          <w:rFonts w:ascii="Times New Roman" w:hAnsi="Times New Roman" w:eastAsia="Times New Roman" w:cs="Times New Roman"/>
          <w:sz w:val="24"/>
          <w:szCs w:val="24"/>
          <w:lang w:val="en-GB"/>
        </w:rPr>
        <w:t xml:space="preserve">CCB was found to be the commonest prescribed </w:t>
      </w:r>
      <w:r>
        <w:rPr>
          <w:rFonts w:ascii="Times New Roman" w:hAnsi="Times New Roman" w:eastAsia="Times New Roman" w:cs="Times New Roman"/>
          <w:sz w:val="24"/>
          <w:szCs w:val="24"/>
          <w:lang w:val="en-US"/>
        </w:rPr>
        <w:t>anti hypertensive</w:t>
      </w:r>
      <w:r>
        <w:rPr>
          <w:rFonts w:ascii="Times New Roman" w:hAnsi="Times New Roman" w:eastAsia="Times New Roman" w:cs="Times New Roman"/>
          <w:sz w:val="24"/>
          <w:szCs w:val="24"/>
          <w:lang w:val="en-GB"/>
        </w:rPr>
        <w:t xml:space="preserve"> in </w:t>
      </w:r>
      <w:r>
        <w:rPr>
          <w:rFonts w:ascii="Times New Roman" w:hAnsi="Times New Roman" w:eastAsia="Times New Roman" w:cs="Times New Roman"/>
          <w:sz w:val="24"/>
          <w:szCs w:val="24"/>
          <w:lang w:val="en-US"/>
        </w:rPr>
        <w:t>mono therapy</w:t>
      </w:r>
      <w:r>
        <w:rPr>
          <w:rFonts w:ascii="Times New Roman" w:hAnsi="Times New Roman" w:eastAsia="Times New Roman" w:cs="Times New Roman"/>
          <w:sz w:val="24"/>
          <w:szCs w:val="24"/>
          <w:lang w:val="en-GB"/>
        </w:rPr>
        <w:t xml:space="preserve"> and in combination therapy. According to JNC8 guideline majority of the BP goals were achieved.</w:t>
      </w:r>
    </w:p>
    <w:p w14:paraId="649BF49F">
      <w:pPr>
        <w:jc w:val="both"/>
        <w:rPr>
          <w:rFonts w:ascii="Times New Roman" w:hAnsi="Times New Roman" w:eastAsia="Times New Roman" w:cs="Times New Roman"/>
          <w:sz w:val="24"/>
          <w:szCs w:val="24"/>
          <w:lang w:val="en-GB"/>
        </w:rPr>
      </w:pPr>
      <w:r>
        <w:rPr>
          <w:rFonts w:ascii="Times New Roman" w:hAnsi="Times New Roman" w:cs="Times New Roman"/>
          <w:iCs/>
          <w:sz w:val="24"/>
          <w:szCs w:val="24"/>
        </w:rPr>
        <w:t>Keywords:</w:t>
      </w:r>
      <w:r>
        <w:rPr>
          <w:rFonts w:ascii="Times New Roman" w:hAnsi="Times New Roman"/>
          <w:sz w:val="24"/>
          <w:szCs w:val="24"/>
        </w:rPr>
        <w:t xml:space="preserve"> </w:t>
      </w:r>
      <w:r>
        <w:rPr>
          <w:rFonts w:ascii="Times New Roman" w:hAnsi="Times New Roman" w:eastAsia="Times New Roman" w:cs="Times New Roman"/>
          <w:sz w:val="24"/>
          <w:szCs w:val="24"/>
          <w:lang w:val="en-GB"/>
        </w:rPr>
        <w:t xml:space="preserve">Anti-hypertensive drugs, Chronic Kidney Disease, </w:t>
      </w:r>
      <w:r>
        <w:rPr>
          <w:rFonts w:ascii="Times New Roman" w:hAnsi="Times New Roman" w:eastAsia="Times New Roman" w:cs="Times New Roman"/>
          <w:sz w:val="24"/>
          <w:szCs w:val="24"/>
          <w:lang w:val="en-US"/>
        </w:rPr>
        <w:t>Mono therapy</w:t>
      </w:r>
      <w:r>
        <w:rPr>
          <w:rFonts w:ascii="Times New Roman" w:hAnsi="Times New Roman" w:eastAsia="Times New Roman" w:cs="Times New Roman"/>
          <w:sz w:val="24"/>
          <w:szCs w:val="24"/>
          <w:lang w:val="en-GB"/>
        </w:rPr>
        <w:t xml:space="preserve">, Combination therapy, Prescription pattern. </w:t>
      </w:r>
    </w:p>
    <w:p w14:paraId="5069F0C9">
      <w:pPr>
        <w:jc w:val="both"/>
        <w:rPr>
          <w:rFonts w:ascii="Times New Roman" w:hAnsi="Times New Roman"/>
          <w:sz w:val="24"/>
          <w:szCs w:val="24"/>
        </w:rPr>
      </w:pPr>
      <w:r>
        <w:rPr>
          <w:rFonts w:ascii="Times New Roman" w:hAnsi="Times New Roman"/>
          <w:sz w:val="24"/>
          <w:szCs w:val="24"/>
        </w:rPr>
        <w:t>*for correspondence</w:t>
      </w:r>
    </w:p>
    <w:p w14:paraId="1B6ED607">
      <w:pPr>
        <w:spacing w:line="360" w:lineRule="auto"/>
        <w:jc w:val="both"/>
        <w:rPr>
          <w:rFonts w:ascii="Times New Roman" w:hAnsi="Times New Roman" w:cs="Times New Roman"/>
          <w:b/>
          <w:sz w:val="24"/>
          <w:szCs w:val="24"/>
        </w:rPr>
      </w:pPr>
    </w:p>
    <w:p w14:paraId="1236268D">
      <w:pPr>
        <w:spacing w:line="360" w:lineRule="auto"/>
        <w:jc w:val="both"/>
        <w:rPr>
          <w:rFonts w:ascii="Times New Roman" w:hAnsi="Times New Roman" w:cs="Times New Roman"/>
          <w:b/>
          <w:sz w:val="24"/>
          <w:szCs w:val="24"/>
        </w:rPr>
      </w:pPr>
    </w:p>
    <w:p w14:paraId="24BF2DE2">
      <w:pPr>
        <w:spacing w:line="360" w:lineRule="auto"/>
        <w:jc w:val="both"/>
        <w:rPr>
          <w:rFonts w:ascii="Times New Roman" w:hAnsi="Times New Roman" w:cs="Times New Roman"/>
          <w:b/>
          <w:sz w:val="24"/>
          <w:szCs w:val="24"/>
        </w:rPr>
      </w:pPr>
    </w:p>
    <w:p w14:paraId="12452CAA">
      <w:pPr>
        <w:spacing w:line="360" w:lineRule="auto"/>
        <w:jc w:val="both"/>
        <w:rPr>
          <w:rFonts w:ascii="Times New Roman" w:hAnsi="Times New Roman" w:cs="Times New Roman"/>
          <w:b/>
          <w:sz w:val="24"/>
          <w:szCs w:val="24"/>
        </w:rPr>
      </w:pPr>
      <w:r>
        <w:rPr>
          <w:rFonts w:ascii="Times New Roman" w:hAnsi="Times New Roman" w:cs="Times New Roman"/>
          <w:b/>
          <w:sz w:val="24"/>
          <w:szCs w:val="24"/>
        </w:rPr>
        <w:t>Reference:</w:t>
      </w:r>
    </w:p>
    <w:p w14:paraId="76528038">
      <w:pPr>
        <w:pStyle w:val="3"/>
        <w:numPr>
          <w:ilvl w:val="0"/>
          <w:numId w:val="2"/>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Tedla FM, Brar A, Browne R, Brown C. Hypertension in chronic kidney disease: navigating the evidence. International journal of hypertension. 2011 May 24;2011.</w:t>
      </w:r>
    </w:p>
    <w:p w14:paraId="3044061F">
      <w:pPr>
        <w:pStyle w:val="3"/>
        <w:numPr>
          <w:ilvl w:val="0"/>
          <w:numId w:val="2"/>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Ku E, Lee BJ, Wei J, Weir MR. Hypertension in CKD: core curriculum 2019. American Journal of Kidney Diseases. 2019 Jul 1;74(1):120-31.</w:t>
      </w:r>
    </w:p>
    <w:p w14:paraId="7C4D214F">
      <w:pPr>
        <w:pStyle w:val="3"/>
        <w:numPr>
          <w:ilvl w:val="0"/>
          <w:numId w:val="2"/>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Jayakumar KP. Analysis of prescription pattern of antihypertensives in various stages of chronic kidney disease.</w:t>
      </w:r>
    </w:p>
    <w:p w14:paraId="2AEA5FF9">
      <w:pPr>
        <w:pStyle w:val="3"/>
        <w:numPr>
          <w:ilvl w:val="0"/>
          <w:numId w:val="2"/>
        </w:numPr>
        <w:spacing w:line="360" w:lineRule="auto"/>
        <w:jc w:val="both"/>
        <w:rPr>
          <w:rFonts w:ascii="Times New Roman" w:hAnsi="Times New Roman" w:eastAsia="Times New Roman" w:cs="Times New Roman"/>
          <w:color w:val="222222"/>
          <w:sz w:val="24"/>
          <w:szCs w:val="24"/>
          <w:shd w:val="clear" w:color="auto" w:fill="FFFFFF"/>
        </w:rPr>
      </w:pPr>
      <w:r>
        <w:rPr>
          <w:rFonts w:ascii="Times New Roman" w:hAnsi="Times New Roman" w:eastAsia="Times New Roman" w:cs="Times New Roman"/>
          <w:color w:val="222222"/>
          <w:sz w:val="24"/>
          <w:szCs w:val="24"/>
          <w:shd w:val="clear" w:color="auto" w:fill="FFFFFF"/>
        </w:rPr>
        <w:t>Joseph, N., Dr Yogananda, R., DR, D.B. and Padman, V., Dr. Sandeep (2017); A Study on Prescription Pattern of Antihypertensive Agents in Chronic Renal Failure Patients and Assessment of Medication Adherence. </w:t>
      </w:r>
      <w:r>
        <w:rPr>
          <w:rFonts w:ascii="Times New Roman" w:hAnsi="Times New Roman" w:eastAsia="Times New Roman" w:cs="Times New Roman"/>
          <w:iCs/>
          <w:color w:val="222222"/>
          <w:sz w:val="24"/>
          <w:szCs w:val="24"/>
          <w:shd w:val="clear" w:color="auto" w:fill="FFFFFF"/>
        </w:rPr>
        <w:t>Int. J. Pharm. Sci. Rev. Res</w:t>
      </w:r>
      <w:r>
        <w:rPr>
          <w:rFonts w:ascii="Times New Roman" w:hAnsi="Times New Roman" w:eastAsia="Times New Roman" w:cs="Times New Roman"/>
          <w:color w:val="222222"/>
          <w:sz w:val="24"/>
          <w:szCs w:val="24"/>
          <w:shd w:val="clear" w:color="auto" w:fill="FFFFFF"/>
        </w:rPr>
        <w:t>, </w:t>
      </w:r>
      <w:r>
        <w:rPr>
          <w:rFonts w:ascii="Times New Roman" w:hAnsi="Times New Roman" w:eastAsia="Times New Roman" w:cs="Times New Roman"/>
          <w:iCs/>
          <w:color w:val="222222"/>
          <w:sz w:val="24"/>
          <w:szCs w:val="24"/>
          <w:shd w:val="clear" w:color="auto" w:fill="FFFFFF"/>
        </w:rPr>
        <w:t>45</w:t>
      </w:r>
      <w:r>
        <w:rPr>
          <w:rFonts w:ascii="Times New Roman" w:hAnsi="Times New Roman" w:eastAsia="Times New Roman" w:cs="Times New Roman"/>
          <w:color w:val="222222"/>
          <w:sz w:val="24"/>
          <w:szCs w:val="24"/>
          <w:shd w:val="clear" w:color="auto" w:fill="FFFFFF"/>
        </w:rPr>
        <w:t>(2), pp.72-75.</w:t>
      </w:r>
    </w:p>
    <w:p w14:paraId="1DFEEB78">
      <w:pPr>
        <w:pStyle w:val="3"/>
        <w:numPr>
          <w:ilvl w:val="0"/>
          <w:numId w:val="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Thomas R, Sam S, Neelaphar P, Shabeeb P, Vishwanath BA. A Study on Prescribing Pattern of Antihypertensive in Chronic Kidney Disease Patients. Journal of Drug Delivery and Therapeutics. 2020 Jun 15;10(3-s):75-81.</w:t>
      </w:r>
    </w:p>
    <w:p w14:paraId="3B407563">
      <w:pPr>
        <w:pStyle w:val="3"/>
        <w:numPr>
          <w:ilvl w:val="0"/>
          <w:numId w:val="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Saju AP, Edakkarayil AC, Maheswari E, Gurudev KC. Prescribing pattern and cost effectiveness analysis of antihypertensive drugs in chronic kidney disease patients. EJPMR. 2016;3(1):219-5.</w:t>
      </w:r>
    </w:p>
    <w:p w14:paraId="1401FCB5">
      <w:pPr>
        <w:pStyle w:val="3"/>
        <w:numPr>
          <w:ilvl w:val="0"/>
          <w:numId w:val="2"/>
        </w:numPr>
        <w:autoSpaceDE w:val="0"/>
        <w:autoSpaceDN w:val="0"/>
        <w:adjustRightInd w:val="0"/>
        <w:spacing w:after="0" w:line="360" w:lineRule="auto"/>
        <w:jc w:val="both"/>
        <w:rPr>
          <w:rFonts w:ascii="Times New Roman" w:hAnsi="Times New Roman" w:cs="Times New Roman"/>
          <w:bCs/>
          <w:i/>
          <w:sz w:val="24"/>
          <w:szCs w:val="24"/>
        </w:rPr>
      </w:pPr>
      <w:r>
        <w:rPr>
          <w:rFonts w:ascii="Times New Roman" w:hAnsi="Times New Roman" w:cs="Times New Roman"/>
          <w:color w:val="222222"/>
          <w:sz w:val="24"/>
          <w:szCs w:val="24"/>
          <w:shd w:val="clear" w:color="auto" w:fill="FFFFFF"/>
        </w:rPr>
        <w:t>Bharani K, Bharani R, Vohra R, Goyal C. Drug utilization pattern of antihypertensive drugs in chronic kidney disease stage 5 patients in a tertiary care hospital of central India.</w:t>
      </w:r>
    </w:p>
    <w:p w14:paraId="4111700A">
      <w:pPr>
        <w:pStyle w:val="3"/>
        <w:numPr>
          <w:ilvl w:val="0"/>
          <w:numId w:val="2"/>
        </w:numPr>
        <w:autoSpaceDE w:val="0"/>
        <w:autoSpaceDN w:val="0"/>
        <w:adjustRightInd w:val="0"/>
        <w:spacing w:before="240" w:after="0" w:line="360" w:lineRule="auto"/>
        <w:jc w:val="both"/>
        <w:rPr>
          <w:rFonts w:ascii="Times New Roman" w:hAnsi="Times New Roman" w:cs="Times New Roman"/>
          <w:bCs/>
          <w:sz w:val="24"/>
          <w:szCs w:val="24"/>
        </w:rPr>
      </w:pPr>
      <w:r>
        <w:rPr>
          <w:rFonts w:ascii="Times New Roman" w:hAnsi="Times New Roman" w:cs="Times New Roman"/>
          <w:color w:val="222222"/>
          <w:sz w:val="24"/>
          <w:szCs w:val="24"/>
          <w:shd w:val="clear" w:color="auto" w:fill="FFFFFF"/>
        </w:rPr>
        <w:t>Malpani AK, Waggi M, Panja P, Christien TM. Study of prescribing pattern of antihypertensive drugs and evaluation of the prescription with JNC 8 guidelines in north karnataka hospital. Indian Journal of Pharmacy Practice. 2018;11(4).</w:t>
      </w:r>
    </w:p>
    <w:p w14:paraId="358BF886">
      <w:pPr>
        <w:pStyle w:val="3"/>
        <w:numPr>
          <w:ilvl w:val="0"/>
          <w:numId w:val="2"/>
        </w:numPr>
        <w:autoSpaceDE w:val="0"/>
        <w:autoSpaceDN w:val="0"/>
        <w:adjustRightInd w:val="0"/>
        <w:spacing w:after="0" w:line="360" w:lineRule="auto"/>
        <w:jc w:val="both"/>
        <w:rPr>
          <w:rFonts w:ascii="Times New Roman" w:hAnsi="Times New Roman" w:cs="Times New Roman"/>
          <w:iCs/>
          <w:sz w:val="24"/>
          <w:szCs w:val="24"/>
        </w:rPr>
      </w:pPr>
      <w:r>
        <w:rPr>
          <w:rFonts w:ascii="Times New Roman" w:hAnsi="Times New Roman" w:cs="Times New Roman"/>
          <w:color w:val="222222"/>
          <w:sz w:val="24"/>
          <w:szCs w:val="24"/>
          <w:shd w:val="clear" w:color="auto" w:fill="FFFFFF"/>
        </w:rPr>
        <w:t>Rajasekhar DG, Prasanna DG, Chandrakanth P. Prescribing pattern of antihypertensive drugs based on compelling indications with hypertension. Int J Pharm Pharm Sci. 2016;8(2):72-5.</w:t>
      </w:r>
    </w:p>
    <w:p w14:paraId="46EE57B7">
      <w:pPr>
        <w:autoSpaceDE w:val="0"/>
        <w:autoSpaceDN w:val="0"/>
        <w:adjustRightInd w:val="0"/>
        <w:spacing w:before="240" w:after="0" w:line="360" w:lineRule="auto"/>
        <w:jc w:val="both"/>
        <w:rPr>
          <w:rFonts w:ascii="Times New Roman" w:hAnsi="Times New Roman" w:cs="Times New Roman"/>
          <w:bCs/>
          <w:sz w:val="24"/>
          <w:szCs w:val="24"/>
        </w:rPr>
      </w:pPr>
    </w:p>
    <w:p w14:paraId="5EE03BF3">
      <w:pPr>
        <w:autoSpaceDE w:val="0"/>
        <w:autoSpaceDN w:val="0"/>
        <w:adjustRightInd w:val="0"/>
        <w:spacing w:line="360" w:lineRule="auto"/>
        <w:jc w:val="both"/>
        <w:rPr>
          <w:rFonts w:ascii="Times New Roman" w:hAnsi="Times New Roman" w:cs="Times New Roman"/>
          <w:sz w:val="24"/>
          <w:szCs w:val="24"/>
        </w:rPr>
      </w:pPr>
    </w:p>
    <w:p w14:paraId="3B5E5364">
      <w:pPr>
        <w:autoSpaceDE w:val="0"/>
        <w:autoSpaceDN w:val="0"/>
        <w:adjustRightInd w:val="0"/>
        <w:spacing w:after="0" w:line="360" w:lineRule="auto"/>
        <w:jc w:val="both"/>
        <w:rPr>
          <w:rFonts w:ascii="Times New Roman" w:hAnsi="Times New Roman" w:cs="Times New Roman"/>
          <w:sz w:val="24"/>
          <w:szCs w:val="24"/>
        </w:rPr>
      </w:pPr>
    </w:p>
    <w:p w14:paraId="5938F832">
      <w:pPr>
        <w:autoSpaceDE w:val="0"/>
        <w:autoSpaceDN w:val="0"/>
        <w:adjustRightInd w:val="0"/>
        <w:spacing w:after="0" w:line="360" w:lineRule="auto"/>
        <w:jc w:val="both"/>
        <w:rPr>
          <w:rFonts w:ascii="Times New Roman" w:hAnsi="Times New Roman" w:cs="Times New Roman"/>
          <w:iCs/>
          <w:sz w:val="24"/>
          <w:szCs w:val="24"/>
        </w:rPr>
      </w:pPr>
    </w:p>
    <w:sectPr>
      <w:pgSz w:w="12240" w:h="15840"/>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Myriad Pro Light">
    <w:altName w:val="Segoe Print"/>
    <w:panose1 w:val="00000000000000000000"/>
    <w:charset w:val="00"/>
    <w:family w:val="swiss"/>
    <w:pitch w:val="default"/>
    <w:sig w:usb0="00000000" w:usb1="00000000" w:usb2="00000000" w:usb3="00000000" w:csb0="00000001" w:csb1="00000000"/>
  </w:font>
  <w:font w:name="Garamond">
    <w:panose1 w:val="02020404030301010803"/>
    <w:charset w:val="00"/>
    <w:family w:val="roman"/>
    <w:pitch w:val="default"/>
    <w:sig w:usb0="00000287" w:usb1="00000000" w:usb2="00000000" w:usb3="00000000" w:csb0="0000009F" w:csb1="DFD70000"/>
  </w:font>
  <w:font w:name="MinionPro-Capt">
    <w:altName w:val="Malgun Gothic"/>
    <w:panose1 w:val="00000000000000000000"/>
    <w:charset w:val="81"/>
    <w:family w:val="roman"/>
    <w:pitch w:val="default"/>
    <w:sig w:usb0="00000000" w:usb1="00000000" w:usb2="00000010" w:usb3="00000000" w:csb0="00080000" w:csb1="00000000"/>
  </w:font>
  <w:font w:name="Symbol">
    <w:panose1 w:val="05050102010706020507"/>
    <w:charset w:val="02"/>
    <w:family w:val="roman"/>
    <w:pitch w:val="default"/>
    <w:sig w:usb0="00000000" w:usb1="00000000" w:usb2="00000000" w:usb3="00000000" w:csb0="80000000" w:csb1="00000000"/>
  </w:font>
  <w:font w:name="+mn-ea">
    <w:altName w:val="Segoe Print"/>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82294"/>
    <w:multiLevelType w:val="multilevel"/>
    <w:tmpl w:val="1A282294"/>
    <w:lvl w:ilvl="0" w:tentative="0">
      <w:start w:val="1"/>
      <w:numFmt w:val="decimal"/>
      <w:pStyle w:val="2"/>
      <w:lvlText w:val="%1"/>
      <w:lvlJc w:val="left"/>
      <w:pPr>
        <w:ind w:left="432" w:hanging="432"/>
      </w:pPr>
      <w:rPr>
        <w:rFonts w:hint="default"/>
        <w:b w:val="0"/>
        <w:bCs w:val="0"/>
        <w:i w:val="0"/>
        <w:iCs w:val="0"/>
        <w:caps w:val="0"/>
        <w:smallCaps w:val="0"/>
        <w:strike w:val="0"/>
        <w:dstrike w:val="0"/>
        <w:vanish w:val="0"/>
        <w:color w:val="FFFFFF" w:themeColor="background1"/>
        <w:spacing w:val="0"/>
        <w:kern w:val="0"/>
        <w:position w:val="0"/>
        <w:u w:val="none"/>
        <w:vertAlign w:val="baseline"/>
      </w:rPr>
    </w:lvl>
    <w:lvl w:ilvl="1" w:tentative="0">
      <w:start w:val="1"/>
      <w:numFmt w:val="decimal"/>
      <w:pStyle w:val="4"/>
      <w:lvlText w:val="%1.%2"/>
      <w:lvlJc w:val="left"/>
      <w:pPr>
        <w:ind w:left="576" w:hanging="576"/>
      </w:pPr>
      <w:rPr>
        <w:color w:val="FFFFFF" w:themeColor="background1"/>
        <w:sz w:val="36"/>
        <w:szCs w:val="36"/>
      </w:rPr>
    </w:lvl>
    <w:lvl w:ilvl="2" w:tentative="0">
      <w:start w:val="1"/>
      <w:numFmt w:val="decimal"/>
      <w:pStyle w:val="5"/>
      <w:lvlText w:val="%1.%2.%3"/>
      <w:lvlJc w:val="left"/>
      <w:pPr>
        <w:ind w:left="1080" w:hanging="720"/>
      </w:pPr>
      <w:rPr>
        <w:b/>
        <w:sz w:val="27"/>
        <w:szCs w:val="27"/>
      </w:rPr>
    </w:lvl>
    <w:lvl w:ilvl="3" w:tentative="0">
      <w:start w:val="1"/>
      <w:numFmt w:val="decimal"/>
      <w:pStyle w:val="6"/>
      <w:lvlText w:val="%1.%2.%3.%4"/>
      <w:lvlJc w:val="left"/>
      <w:pPr>
        <w:ind w:left="864" w:hanging="864"/>
      </w:pPr>
    </w:lvl>
    <w:lvl w:ilvl="4" w:tentative="0">
      <w:start w:val="1"/>
      <w:numFmt w:val="decimal"/>
      <w:pStyle w:val="7"/>
      <w:lvlText w:val="%1.%2.%3.%4.%5"/>
      <w:lvlJc w:val="left"/>
      <w:pPr>
        <w:ind w:left="1008" w:hanging="1008"/>
      </w:pPr>
    </w:lvl>
    <w:lvl w:ilvl="5" w:tentative="0">
      <w:start w:val="1"/>
      <w:numFmt w:val="decimal"/>
      <w:pStyle w:val="8"/>
      <w:lvlText w:val="%1.%2.%3.%4.%5.%6"/>
      <w:lvlJc w:val="left"/>
      <w:pPr>
        <w:ind w:left="1152" w:hanging="1152"/>
      </w:pPr>
    </w:lvl>
    <w:lvl w:ilvl="6" w:tentative="0">
      <w:start w:val="1"/>
      <w:numFmt w:val="decimal"/>
      <w:pStyle w:val="9"/>
      <w:lvlText w:val="%1.%2.%3.%4.%5.%6.%7"/>
      <w:lvlJc w:val="left"/>
      <w:pPr>
        <w:ind w:left="1296" w:hanging="1296"/>
      </w:pPr>
    </w:lvl>
    <w:lvl w:ilvl="7" w:tentative="0">
      <w:start w:val="1"/>
      <w:numFmt w:val="decimal"/>
      <w:pStyle w:val="10"/>
      <w:lvlText w:val="%1.%2.%3.%4.%5.%6.%7.%8"/>
      <w:lvlJc w:val="left"/>
      <w:pPr>
        <w:ind w:left="1440" w:hanging="1440"/>
      </w:pPr>
    </w:lvl>
    <w:lvl w:ilvl="8" w:tentative="0">
      <w:start w:val="1"/>
      <w:numFmt w:val="decimal"/>
      <w:pStyle w:val="11"/>
      <w:lvlText w:val="%1.%2.%3.%4.%5.%6.%7.%8.%9"/>
      <w:lvlJc w:val="left"/>
      <w:pPr>
        <w:ind w:left="1584" w:hanging="1584"/>
      </w:pPr>
    </w:lvl>
  </w:abstractNum>
  <w:abstractNum w:abstractNumId="1">
    <w:nsid w:val="5F2C6AE6"/>
    <w:multiLevelType w:val="multilevel"/>
    <w:tmpl w:val="5F2C6AE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2"/>
  </w:compat>
  <w:rsids>
    <w:rsidRoot w:val="003F1398"/>
    <w:rsid w:val="0000335C"/>
    <w:rsid w:val="00010DC5"/>
    <w:rsid w:val="00012111"/>
    <w:rsid w:val="00012F1B"/>
    <w:rsid w:val="00015FFF"/>
    <w:rsid w:val="00016F40"/>
    <w:rsid w:val="00021B07"/>
    <w:rsid w:val="00021C5A"/>
    <w:rsid w:val="00023790"/>
    <w:rsid w:val="00042AD3"/>
    <w:rsid w:val="00045A5E"/>
    <w:rsid w:val="00064036"/>
    <w:rsid w:val="0007132E"/>
    <w:rsid w:val="000749E0"/>
    <w:rsid w:val="00084DD8"/>
    <w:rsid w:val="00087376"/>
    <w:rsid w:val="00087822"/>
    <w:rsid w:val="000A46E9"/>
    <w:rsid w:val="000B510C"/>
    <w:rsid w:val="000B72DA"/>
    <w:rsid w:val="000D728F"/>
    <w:rsid w:val="000F108A"/>
    <w:rsid w:val="0010477D"/>
    <w:rsid w:val="00111F5A"/>
    <w:rsid w:val="001213D8"/>
    <w:rsid w:val="00121CB4"/>
    <w:rsid w:val="00155BB0"/>
    <w:rsid w:val="00156EA1"/>
    <w:rsid w:val="00163D89"/>
    <w:rsid w:val="00164573"/>
    <w:rsid w:val="00177488"/>
    <w:rsid w:val="00187DCE"/>
    <w:rsid w:val="001913AD"/>
    <w:rsid w:val="00193E7B"/>
    <w:rsid w:val="001A03C3"/>
    <w:rsid w:val="001A4BA1"/>
    <w:rsid w:val="001A5FCF"/>
    <w:rsid w:val="001B073B"/>
    <w:rsid w:val="001C0D07"/>
    <w:rsid w:val="001C6BB5"/>
    <w:rsid w:val="001D4D02"/>
    <w:rsid w:val="001D563A"/>
    <w:rsid w:val="001D5BE3"/>
    <w:rsid w:val="001D7F74"/>
    <w:rsid w:val="00213EBD"/>
    <w:rsid w:val="0022569E"/>
    <w:rsid w:val="00225E3D"/>
    <w:rsid w:val="0024530E"/>
    <w:rsid w:val="00247F15"/>
    <w:rsid w:val="00251732"/>
    <w:rsid w:val="00265A89"/>
    <w:rsid w:val="00266056"/>
    <w:rsid w:val="00290840"/>
    <w:rsid w:val="002A3046"/>
    <w:rsid w:val="002A7626"/>
    <w:rsid w:val="002B1421"/>
    <w:rsid w:val="002B2606"/>
    <w:rsid w:val="002B546D"/>
    <w:rsid w:val="002C113C"/>
    <w:rsid w:val="002C7002"/>
    <w:rsid w:val="002D0EBF"/>
    <w:rsid w:val="002E72F0"/>
    <w:rsid w:val="002F23D6"/>
    <w:rsid w:val="003007FF"/>
    <w:rsid w:val="00302848"/>
    <w:rsid w:val="00325ADD"/>
    <w:rsid w:val="003401A8"/>
    <w:rsid w:val="0035285F"/>
    <w:rsid w:val="00357497"/>
    <w:rsid w:val="00360151"/>
    <w:rsid w:val="003609F3"/>
    <w:rsid w:val="003701A5"/>
    <w:rsid w:val="003740EC"/>
    <w:rsid w:val="00381AB2"/>
    <w:rsid w:val="00383055"/>
    <w:rsid w:val="003A046C"/>
    <w:rsid w:val="003A61C5"/>
    <w:rsid w:val="003B00F1"/>
    <w:rsid w:val="003B2186"/>
    <w:rsid w:val="003C3DFD"/>
    <w:rsid w:val="003C76F9"/>
    <w:rsid w:val="003D3FCF"/>
    <w:rsid w:val="003D7165"/>
    <w:rsid w:val="003D7D04"/>
    <w:rsid w:val="003E050B"/>
    <w:rsid w:val="003E3727"/>
    <w:rsid w:val="003E490E"/>
    <w:rsid w:val="003F1398"/>
    <w:rsid w:val="00405992"/>
    <w:rsid w:val="00411888"/>
    <w:rsid w:val="00413B7D"/>
    <w:rsid w:val="0041408C"/>
    <w:rsid w:val="0041722E"/>
    <w:rsid w:val="0042016B"/>
    <w:rsid w:val="00422F2C"/>
    <w:rsid w:val="004252BA"/>
    <w:rsid w:val="00432587"/>
    <w:rsid w:val="0043627D"/>
    <w:rsid w:val="00437EFE"/>
    <w:rsid w:val="0044149F"/>
    <w:rsid w:val="00442D70"/>
    <w:rsid w:val="00446899"/>
    <w:rsid w:val="00455680"/>
    <w:rsid w:val="00474F60"/>
    <w:rsid w:val="004759BE"/>
    <w:rsid w:val="00482CDB"/>
    <w:rsid w:val="0049042C"/>
    <w:rsid w:val="0049075C"/>
    <w:rsid w:val="004A1009"/>
    <w:rsid w:val="004B737F"/>
    <w:rsid w:val="004C52DE"/>
    <w:rsid w:val="004C70CF"/>
    <w:rsid w:val="004E28FC"/>
    <w:rsid w:val="004F361E"/>
    <w:rsid w:val="004F74D1"/>
    <w:rsid w:val="00502DE7"/>
    <w:rsid w:val="005037B5"/>
    <w:rsid w:val="00510B1A"/>
    <w:rsid w:val="0051253B"/>
    <w:rsid w:val="0051425B"/>
    <w:rsid w:val="005237CC"/>
    <w:rsid w:val="0053089E"/>
    <w:rsid w:val="00540134"/>
    <w:rsid w:val="00540622"/>
    <w:rsid w:val="005458ED"/>
    <w:rsid w:val="00563B6C"/>
    <w:rsid w:val="00596741"/>
    <w:rsid w:val="005A14A9"/>
    <w:rsid w:val="005A5406"/>
    <w:rsid w:val="005B140B"/>
    <w:rsid w:val="005B4D8B"/>
    <w:rsid w:val="005B53A4"/>
    <w:rsid w:val="005B5B9C"/>
    <w:rsid w:val="005B7531"/>
    <w:rsid w:val="005E3A8A"/>
    <w:rsid w:val="005E42E4"/>
    <w:rsid w:val="005F4309"/>
    <w:rsid w:val="00605E0A"/>
    <w:rsid w:val="0061150F"/>
    <w:rsid w:val="00622689"/>
    <w:rsid w:val="006240C8"/>
    <w:rsid w:val="00626DC8"/>
    <w:rsid w:val="0063657E"/>
    <w:rsid w:val="00641ADA"/>
    <w:rsid w:val="006462F7"/>
    <w:rsid w:val="0066448C"/>
    <w:rsid w:val="006671B4"/>
    <w:rsid w:val="00673116"/>
    <w:rsid w:val="00682839"/>
    <w:rsid w:val="00687187"/>
    <w:rsid w:val="00691E1C"/>
    <w:rsid w:val="00695597"/>
    <w:rsid w:val="006B237B"/>
    <w:rsid w:val="006B36E9"/>
    <w:rsid w:val="006C7050"/>
    <w:rsid w:val="006D05C8"/>
    <w:rsid w:val="006D09CD"/>
    <w:rsid w:val="006D61A9"/>
    <w:rsid w:val="006E1898"/>
    <w:rsid w:val="006E2550"/>
    <w:rsid w:val="006E2CFE"/>
    <w:rsid w:val="006E56E7"/>
    <w:rsid w:val="006E7918"/>
    <w:rsid w:val="006F75D2"/>
    <w:rsid w:val="00702822"/>
    <w:rsid w:val="00706A3A"/>
    <w:rsid w:val="00713D5D"/>
    <w:rsid w:val="00713D9F"/>
    <w:rsid w:val="00715F86"/>
    <w:rsid w:val="0072415C"/>
    <w:rsid w:val="00725AB7"/>
    <w:rsid w:val="007263C3"/>
    <w:rsid w:val="00730AE8"/>
    <w:rsid w:val="00741E47"/>
    <w:rsid w:val="00744865"/>
    <w:rsid w:val="00753D85"/>
    <w:rsid w:val="00762C54"/>
    <w:rsid w:val="007631B7"/>
    <w:rsid w:val="00785158"/>
    <w:rsid w:val="007852B8"/>
    <w:rsid w:val="00787DB6"/>
    <w:rsid w:val="0079470E"/>
    <w:rsid w:val="00795C33"/>
    <w:rsid w:val="007A5C5F"/>
    <w:rsid w:val="007B59CA"/>
    <w:rsid w:val="007C0AF8"/>
    <w:rsid w:val="007D4F6F"/>
    <w:rsid w:val="007D51A4"/>
    <w:rsid w:val="007E7EAB"/>
    <w:rsid w:val="008028BA"/>
    <w:rsid w:val="00806FB9"/>
    <w:rsid w:val="008131DB"/>
    <w:rsid w:val="00815D78"/>
    <w:rsid w:val="00823B47"/>
    <w:rsid w:val="00824DF3"/>
    <w:rsid w:val="008264FC"/>
    <w:rsid w:val="00835273"/>
    <w:rsid w:val="00840901"/>
    <w:rsid w:val="00841B4B"/>
    <w:rsid w:val="00842D94"/>
    <w:rsid w:val="00846D5F"/>
    <w:rsid w:val="00847931"/>
    <w:rsid w:val="00850FBE"/>
    <w:rsid w:val="00851CA8"/>
    <w:rsid w:val="008800DD"/>
    <w:rsid w:val="00880B7C"/>
    <w:rsid w:val="00881433"/>
    <w:rsid w:val="00882C43"/>
    <w:rsid w:val="008A751F"/>
    <w:rsid w:val="008B11D3"/>
    <w:rsid w:val="008C04AD"/>
    <w:rsid w:val="008D0B03"/>
    <w:rsid w:val="008D47E5"/>
    <w:rsid w:val="008E1587"/>
    <w:rsid w:val="0090198F"/>
    <w:rsid w:val="00904BFE"/>
    <w:rsid w:val="0092084E"/>
    <w:rsid w:val="00925A58"/>
    <w:rsid w:val="00930C34"/>
    <w:rsid w:val="0094047A"/>
    <w:rsid w:val="00952A69"/>
    <w:rsid w:val="00970208"/>
    <w:rsid w:val="0097030A"/>
    <w:rsid w:val="0098402D"/>
    <w:rsid w:val="00986C13"/>
    <w:rsid w:val="009A2003"/>
    <w:rsid w:val="009B093A"/>
    <w:rsid w:val="009B2DC8"/>
    <w:rsid w:val="009B2E25"/>
    <w:rsid w:val="009B4DEA"/>
    <w:rsid w:val="009B5082"/>
    <w:rsid w:val="009C0AE3"/>
    <w:rsid w:val="009C1E57"/>
    <w:rsid w:val="009C2C28"/>
    <w:rsid w:val="009C5E6D"/>
    <w:rsid w:val="009F3C77"/>
    <w:rsid w:val="00A01C0B"/>
    <w:rsid w:val="00A05450"/>
    <w:rsid w:val="00A07C4A"/>
    <w:rsid w:val="00A11FB4"/>
    <w:rsid w:val="00A14732"/>
    <w:rsid w:val="00A17B21"/>
    <w:rsid w:val="00A234D6"/>
    <w:rsid w:val="00A31087"/>
    <w:rsid w:val="00A3304C"/>
    <w:rsid w:val="00A34B6A"/>
    <w:rsid w:val="00A35B98"/>
    <w:rsid w:val="00A474B4"/>
    <w:rsid w:val="00A5069E"/>
    <w:rsid w:val="00A517FA"/>
    <w:rsid w:val="00A5514A"/>
    <w:rsid w:val="00A60DB7"/>
    <w:rsid w:val="00A61A3A"/>
    <w:rsid w:val="00A71905"/>
    <w:rsid w:val="00A91AD7"/>
    <w:rsid w:val="00A971CA"/>
    <w:rsid w:val="00A97A47"/>
    <w:rsid w:val="00AA5347"/>
    <w:rsid w:val="00AB3B9E"/>
    <w:rsid w:val="00AB4DEF"/>
    <w:rsid w:val="00AC1F06"/>
    <w:rsid w:val="00AD16A3"/>
    <w:rsid w:val="00AD378D"/>
    <w:rsid w:val="00AD76F3"/>
    <w:rsid w:val="00AD7EDC"/>
    <w:rsid w:val="00AE35B7"/>
    <w:rsid w:val="00AE3811"/>
    <w:rsid w:val="00AF559C"/>
    <w:rsid w:val="00B0149E"/>
    <w:rsid w:val="00B02BD6"/>
    <w:rsid w:val="00B12E39"/>
    <w:rsid w:val="00B16632"/>
    <w:rsid w:val="00B26819"/>
    <w:rsid w:val="00B4091B"/>
    <w:rsid w:val="00B46E2C"/>
    <w:rsid w:val="00B52D03"/>
    <w:rsid w:val="00B55C4C"/>
    <w:rsid w:val="00B60581"/>
    <w:rsid w:val="00B62540"/>
    <w:rsid w:val="00B6305A"/>
    <w:rsid w:val="00B63D82"/>
    <w:rsid w:val="00B81BCC"/>
    <w:rsid w:val="00B85D88"/>
    <w:rsid w:val="00B86EC2"/>
    <w:rsid w:val="00B86F60"/>
    <w:rsid w:val="00B936DF"/>
    <w:rsid w:val="00BA0E06"/>
    <w:rsid w:val="00BA0EBC"/>
    <w:rsid w:val="00BB2E79"/>
    <w:rsid w:val="00BC10AC"/>
    <w:rsid w:val="00BE70C1"/>
    <w:rsid w:val="00BE7FC6"/>
    <w:rsid w:val="00BF3954"/>
    <w:rsid w:val="00BF74CD"/>
    <w:rsid w:val="00C03B58"/>
    <w:rsid w:val="00C04AF4"/>
    <w:rsid w:val="00C111DC"/>
    <w:rsid w:val="00C118AE"/>
    <w:rsid w:val="00C132FF"/>
    <w:rsid w:val="00C22755"/>
    <w:rsid w:val="00C30B79"/>
    <w:rsid w:val="00C41414"/>
    <w:rsid w:val="00C46E80"/>
    <w:rsid w:val="00C5023F"/>
    <w:rsid w:val="00C67B46"/>
    <w:rsid w:val="00C76A0D"/>
    <w:rsid w:val="00CD5B86"/>
    <w:rsid w:val="00CE2007"/>
    <w:rsid w:val="00CE6099"/>
    <w:rsid w:val="00CF0507"/>
    <w:rsid w:val="00CF0B1A"/>
    <w:rsid w:val="00CF51C4"/>
    <w:rsid w:val="00D02F4D"/>
    <w:rsid w:val="00D04931"/>
    <w:rsid w:val="00D06693"/>
    <w:rsid w:val="00D2072B"/>
    <w:rsid w:val="00D25688"/>
    <w:rsid w:val="00D32F16"/>
    <w:rsid w:val="00D4212A"/>
    <w:rsid w:val="00D43288"/>
    <w:rsid w:val="00D575F3"/>
    <w:rsid w:val="00D9402F"/>
    <w:rsid w:val="00D94989"/>
    <w:rsid w:val="00D963F4"/>
    <w:rsid w:val="00DB4357"/>
    <w:rsid w:val="00DD15E7"/>
    <w:rsid w:val="00DE4755"/>
    <w:rsid w:val="00E0375C"/>
    <w:rsid w:val="00E14650"/>
    <w:rsid w:val="00E22534"/>
    <w:rsid w:val="00E231FE"/>
    <w:rsid w:val="00E236DF"/>
    <w:rsid w:val="00E24ABC"/>
    <w:rsid w:val="00E26830"/>
    <w:rsid w:val="00E34B8E"/>
    <w:rsid w:val="00E42754"/>
    <w:rsid w:val="00E51C14"/>
    <w:rsid w:val="00E54752"/>
    <w:rsid w:val="00E74EFA"/>
    <w:rsid w:val="00E7612A"/>
    <w:rsid w:val="00E8330B"/>
    <w:rsid w:val="00EA173D"/>
    <w:rsid w:val="00EB0B0B"/>
    <w:rsid w:val="00EB1822"/>
    <w:rsid w:val="00EB6211"/>
    <w:rsid w:val="00EC5CAE"/>
    <w:rsid w:val="00ED4C43"/>
    <w:rsid w:val="00EE7259"/>
    <w:rsid w:val="00EF0E9A"/>
    <w:rsid w:val="00F05DAA"/>
    <w:rsid w:val="00F06A1E"/>
    <w:rsid w:val="00F27405"/>
    <w:rsid w:val="00F27EAA"/>
    <w:rsid w:val="00F3360F"/>
    <w:rsid w:val="00F33FCE"/>
    <w:rsid w:val="00F3702A"/>
    <w:rsid w:val="00F45B2D"/>
    <w:rsid w:val="00F471D1"/>
    <w:rsid w:val="00F55FBD"/>
    <w:rsid w:val="00F563ED"/>
    <w:rsid w:val="00F6551D"/>
    <w:rsid w:val="00F65CB1"/>
    <w:rsid w:val="00F66772"/>
    <w:rsid w:val="00F67CD8"/>
    <w:rsid w:val="00F741CE"/>
    <w:rsid w:val="00F81F01"/>
    <w:rsid w:val="00F840F9"/>
    <w:rsid w:val="00F92849"/>
    <w:rsid w:val="00FB2546"/>
    <w:rsid w:val="00FC07C7"/>
    <w:rsid w:val="00FC2901"/>
    <w:rsid w:val="00FC42BC"/>
    <w:rsid w:val="00FC4E1A"/>
    <w:rsid w:val="00FD4951"/>
    <w:rsid w:val="00FD5F96"/>
    <w:rsid w:val="00FF32B0"/>
    <w:rsid w:val="6DC14FE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beforeAutospacing="0" w:after="200" w:afterAutospacing="0" w:line="276" w:lineRule="auto"/>
      <w:ind w:left="0" w:right="0"/>
      <w:jc w:val="left"/>
    </w:pPr>
    <w:rPr>
      <w:rFonts w:asciiTheme="minorHAnsi" w:hAnsiTheme="minorHAnsi" w:eastAsiaTheme="minorHAnsi" w:cstheme="minorBidi"/>
      <w:sz w:val="22"/>
      <w:szCs w:val="22"/>
      <w:lang w:val="en-US" w:eastAsia="en-US" w:bidi="ar-SA"/>
    </w:rPr>
  </w:style>
  <w:style w:type="paragraph" w:styleId="2">
    <w:name w:val="heading 1"/>
    <w:basedOn w:val="3"/>
    <w:link w:val="30"/>
    <w:qFormat/>
    <w:uiPriority w:val="9"/>
    <w:pPr>
      <w:numPr>
        <w:ilvl w:val="0"/>
        <w:numId w:val="1"/>
      </w:numPr>
      <w:outlineLvl w:val="0"/>
    </w:pPr>
  </w:style>
  <w:style w:type="paragraph" w:styleId="4">
    <w:name w:val="heading 2"/>
    <w:basedOn w:val="1"/>
    <w:link w:val="31"/>
    <w:qFormat/>
    <w:uiPriority w:val="9"/>
    <w:pPr>
      <w:numPr>
        <w:ilvl w:val="1"/>
        <w:numId w:val="1"/>
      </w:numPr>
      <w:spacing w:before="100" w:beforeAutospacing="1" w:after="100" w:afterAutospacing="1" w:line="240" w:lineRule="auto"/>
      <w:outlineLvl w:val="1"/>
    </w:pPr>
    <w:rPr>
      <w:rFonts w:ascii="Times New Roman" w:hAnsi="Times New Roman" w:eastAsia="Times New Roman" w:cs="Times New Roman"/>
      <w:b/>
      <w:bCs/>
      <w:sz w:val="36"/>
      <w:szCs w:val="36"/>
    </w:rPr>
  </w:style>
  <w:style w:type="paragraph" w:styleId="5">
    <w:name w:val="heading 3"/>
    <w:basedOn w:val="1"/>
    <w:link w:val="32"/>
    <w:qFormat/>
    <w:uiPriority w:val="9"/>
    <w:pPr>
      <w:numPr>
        <w:ilvl w:val="2"/>
        <w:numId w:val="1"/>
      </w:numPr>
      <w:spacing w:before="100" w:beforeAutospacing="1" w:after="100" w:afterAutospacing="1" w:line="240" w:lineRule="auto"/>
      <w:ind w:left="720"/>
      <w:outlineLvl w:val="2"/>
    </w:pPr>
    <w:rPr>
      <w:rFonts w:ascii="Times New Roman" w:hAnsi="Times New Roman" w:eastAsia="Times New Roman" w:cs="Times New Roman"/>
      <w:b/>
      <w:bCs/>
      <w:sz w:val="27"/>
      <w:szCs w:val="27"/>
    </w:rPr>
  </w:style>
  <w:style w:type="paragraph" w:styleId="6">
    <w:name w:val="heading 4"/>
    <w:basedOn w:val="1"/>
    <w:next w:val="1"/>
    <w:link w:val="33"/>
    <w:unhideWhenUsed/>
    <w:qFormat/>
    <w:uiPriority w:val="9"/>
    <w:pPr>
      <w:keepNext/>
      <w:keepLines/>
      <w:numPr>
        <w:ilvl w:val="3"/>
        <w:numId w:val="1"/>
      </w:numPr>
      <w:spacing w:before="200" w:after="0"/>
      <w:outlineLvl w:val="3"/>
    </w:pPr>
    <w:rPr>
      <w:rFonts w:asciiTheme="majorHAnsi" w:hAnsiTheme="majorHAnsi" w:eastAsiaTheme="majorEastAsia" w:cstheme="majorBidi"/>
      <w:b/>
      <w:bCs/>
      <w:i/>
      <w:iCs/>
      <w:color w:val="4F81BD" w:themeColor="accent1"/>
    </w:rPr>
  </w:style>
  <w:style w:type="paragraph" w:styleId="7">
    <w:name w:val="heading 5"/>
    <w:basedOn w:val="1"/>
    <w:next w:val="1"/>
    <w:link w:val="34"/>
    <w:semiHidden/>
    <w:unhideWhenUsed/>
    <w:qFormat/>
    <w:uiPriority w:val="9"/>
    <w:pPr>
      <w:keepNext/>
      <w:keepLines/>
      <w:numPr>
        <w:ilvl w:val="4"/>
        <w:numId w:val="1"/>
      </w:numPr>
      <w:spacing w:before="40" w:after="0"/>
      <w:outlineLvl w:val="4"/>
    </w:pPr>
    <w:rPr>
      <w:rFonts w:asciiTheme="majorHAnsi" w:hAnsiTheme="majorHAnsi" w:eastAsiaTheme="majorEastAsia" w:cstheme="majorBidi"/>
      <w:color w:val="366091" w:themeColor="accent1" w:themeShade="BF"/>
    </w:rPr>
  </w:style>
  <w:style w:type="paragraph" w:styleId="8">
    <w:name w:val="heading 6"/>
    <w:basedOn w:val="1"/>
    <w:next w:val="1"/>
    <w:link w:val="35"/>
    <w:semiHidden/>
    <w:unhideWhenUsed/>
    <w:qFormat/>
    <w:uiPriority w:val="9"/>
    <w:pPr>
      <w:keepNext/>
      <w:keepLines/>
      <w:numPr>
        <w:ilvl w:val="5"/>
        <w:numId w:val="1"/>
      </w:numPr>
      <w:spacing w:before="40" w:after="0"/>
      <w:outlineLvl w:val="5"/>
    </w:pPr>
    <w:rPr>
      <w:rFonts w:asciiTheme="majorHAnsi" w:hAnsiTheme="majorHAnsi" w:eastAsiaTheme="majorEastAsia" w:cstheme="majorBidi"/>
      <w:color w:val="243F61" w:themeColor="accent1" w:themeShade="7F"/>
    </w:rPr>
  </w:style>
  <w:style w:type="paragraph" w:styleId="9">
    <w:name w:val="heading 7"/>
    <w:basedOn w:val="1"/>
    <w:next w:val="1"/>
    <w:link w:val="36"/>
    <w:semiHidden/>
    <w:unhideWhenUsed/>
    <w:qFormat/>
    <w:uiPriority w:val="9"/>
    <w:pPr>
      <w:keepNext/>
      <w:keepLines/>
      <w:numPr>
        <w:ilvl w:val="6"/>
        <w:numId w:val="1"/>
      </w:numPr>
      <w:spacing w:before="40" w:after="0"/>
      <w:outlineLvl w:val="6"/>
    </w:pPr>
    <w:rPr>
      <w:rFonts w:asciiTheme="majorHAnsi" w:hAnsiTheme="majorHAnsi" w:eastAsiaTheme="majorEastAsia" w:cstheme="majorBidi"/>
      <w:i/>
      <w:iCs/>
      <w:color w:val="243F61" w:themeColor="accent1" w:themeShade="7F"/>
    </w:rPr>
  </w:style>
  <w:style w:type="paragraph" w:styleId="10">
    <w:name w:val="heading 8"/>
    <w:basedOn w:val="1"/>
    <w:next w:val="1"/>
    <w:link w:val="37"/>
    <w:semiHidden/>
    <w:unhideWhenUsed/>
    <w:qFormat/>
    <w:uiPriority w:val="9"/>
    <w:pPr>
      <w:keepNext/>
      <w:keepLines/>
      <w:numPr>
        <w:ilvl w:val="7"/>
        <w:numId w:val="1"/>
      </w:numPr>
      <w:spacing w:before="40" w:after="0"/>
      <w:outlineLvl w:val="7"/>
    </w:pPr>
    <w:rPr>
      <w:rFonts w:asciiTheme="majorHAnsi" w:hAnsiTheme="majorHAnsi" w:eastAsiaTheme="majorEastAsia" w:cstheme="majorBidi"/>
      <w:color w:val="262626" w:themeColor="text1" w:themeTint="D8"/>
      <w:sz w:val="21"/>
      <w:szCs w:val="21"/>
    </w:rPr>
  </w:style>
  <w:style w:type="paragraph" w:styleId="11">
    <w:name w:val="heading 9"/>
    <w:basedOn w:val="1"/>
    <w:next w:val="1"/>
    <w:link w:val="38"/>
    <w:semiHidden/>
    <w:unhideWhenUsed/>
    <w:qFormat/>
    <w:uiPriority w:val="9"/>
    <w:pPr>
      <w:keepNext/>
      <w:keepLines/>
      <w:numPr>
        <w:ilvl w:val="8"/>
        <w:numId w:val="1"/>
      </w:numPr>
      <w:spacing w:before="40" w:after="0"/>
      <w:outlineLvl w:val="8"/>
    </w:pPr>
    <w:rPr>
      <w:rFonts w:asciiTheme="majorHAnsi" w:hAnsiTheme="majorHAnsi" w:eastAsiaTheme="majorEastAsia" w:cstheme="majorBidi"/>
      <w:i/>
      <w:iCs/>
      <w:color w:val="262626" w:themeColor="text1" w:themeTint="D8"/>
      <w:sz w:val="21"/>
      <w:szCs w:val="21"/>
    </w:rPr>
  </w:style>
  <w:style w:type="character" w:default="1" w:styleId="12">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List Paragraph"/>
    <w:basedOn w:val="1"/>
    <w:qFormat/>
    <w:uiPriority w:val="34"/>
    <w:pPr>
      <w:ind w:left="720"/>
      <w:contextualSpacing/>
    </w:pPr>
  </w:style>
  <w:style w:type="paragraph" w:styleId="14">
    <w:name w:val="Balloon Text"/>
    <w:basedOn w:val="1"/>
    <w:link w:val="29"/>
    <w:semiHidden/>
    <w:unhideWhenUsed/>
    <w:uiPriority w:val="99"/>
    <w:pPr>
      <w:spacing w:after="0" w:line="240" w:lineRule="auto"/>
    </w:pPr>
    <w:rPr>
      <w:rFonts w:ascii="Tahoma" w:hAnsi="Tahoma" w:cs="Tahoma"/>
      <w:sz w:val="16"/>
      <w:szCs w:val="16"/>
    </w:rPr>
  </w:style>
  <w:style w:type="paragraph" w:styleId="15">
    <w:name w:val="Body Text"/>
    <w:basedOn w:val="1"/>
    <w:link w:val="48"/>
    <w:qFormat/>
    <w:uiPriority w:val="1"/>
    <w:pPr>
      <w:widowControl w:val="0"/>
      <w:autoSpaceDE w:val="0"/>
      <w:autoSpaceDN w:val="0"/>
      <w:spacing w:after="0" w:line="240" w:lineRule="auto"/>
    </w:pPr>
    <w:rPr>
      <w:rFonts w:ascii="Arial" w:hAnsi="Arial" w:eastAsia="Arial" w:cs="Arial"/>
    </w:rPr>
  </w:style>
  <w:style w:type="paragraph" w:styleId="16">
    <w:name w:val="caption"/>
    <w:basedOn w:val="1"/>
    <w:next w:val="1"/>
    <w:unhideWhenUsed/>
    <w:qFormat/>
    <w:uiPriority w:val="35"/>
    <w:pPr>
      <w:spacing w:line="240" w:lineRule="auto"/>
    </w:pPr>
    <w:rPr>
      <w:rFonts w:eastAsiaTheme="minorEastAsia"/>
      <w:i/>
      <w:iCs/>
      <w:color w:val="1F497D" w:themeColor="text2"/>
      <w:sz w:val="18"/>
      <w:szCs w:val="18"/>
    </w:rPr>
  </w:style>
  <w:style w:type="paragraph" w:styleId="17">
    <w:name w:val="footer"/>
    <w:basedOn w:val="1"/>
    <w:link w:val="42"/>
    <w:unhideWhenUsed/>
    <w:qFormat/>
    <w:uiPriority w:val="99"/>
    <w:pPr>
      <w:tabs>
        <w:tab w:val="center" w:pos="4680"/>
        <w:tab w:val="right" w:pos="9360"/>
      </w:tabs>
      <w:spacing w:after="0" w:line="240" w:lineRule="auto"/>
    </w:pPr>
  </w:style>
  <w:style w:type="character" w:styleId="18">
    <w:name w:val="footnote reference"/>
    <w:basedOn w:val="12"/>
    <w:semiHidden/>
    <w:unhideWhenUsed/>
    <w:uiPriority w:val="99"/>
    <w:rPr>
      <w:vertAlign w:val="superscript"/>
    </w:rPr>
  </w:style>
  <w:style w:type="paragraph" w:styleId="19">
    <w:name w:val="footnote text"/>
    <w:basedOn w:val="1"/>
    <w:link w:val="47"/>
    <w:semiHidden/>
    <w:unhideWhenUsed/>
    <w:uiPriority w:val="99"/>
    <w:pPr>
      <w:spacing w:after="0" w:line="240" w:lineRule="auto"/>
    </w:pPr>
    <w:rPr>
      <w:sz w:val="20"/>
      <w:szCs w:val="20"/>
    </w:rPr>
  </w:style>
  <w:style w:type="paragraph" w:styleId="20">
    <w:name w:val="header"/>
    <w:basedOn w:val="1"/>
    <w:link w:val="41"/>
    <w:unhideWhenUsed/>
    <w:qFormat/>
    <w:uiPriority w:val="99"/>
    <w:pPr>
      <w:tabs>
        <w:tab w:val="center" w:pos="4680"/>
        <w:tab w:val="right" w:pos="9360"/>
      </w:tabs>
      <w:spacing w:after="0" w:line="240" w:lineRule="auto"/>
    </w:pPr>
  </w:style>
  <w:style w:type="character" w:styleId="21">
    <w:name w:val="Hyperlink"/>
    <w:basedOn w:val="12"/>
    <w:unhideWhenUsed/>
    <w:uiPriority w:val="99"/>
    <w:rPr>
      <w:color w:val="0000FF" w:themeColor="hyperlink"/>
      <w:u w:val="single"/>
    </w:rPr>
  </w:style>
  <w:style w:type="paragraph" w:styleId="22">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3">
    <w:name w:val="Strong"/>
    <w:basedOn w:val="12"/>
    <w:qFormat/>
    <w:uiPriority w:val="22"/>
    <w:rPr>
      <w:b/>
      <w:bCs/>
    </w:rPr>
  </w:style>
  <w:style w:type="table" w:styleId="24">
    <w:name w:val="Table Grid"/>
    <w:basedOn w:val="13"/>
    <w:uiPriority w:val="59"/>
    <w:pPr>
      <w:spacing w:before="0" w:beforeAutospacing="0" w:after="0" w:afterAutospacing="0" w:line="240" w:lineRule="auto"/>
      <w:ind w:left="0" w:right="0"/>
      <w:jc w:val="left"/>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25">
    <w:name w:val="Character Style 1"/>
    <w:qFormat/>
    <w:uiPriority w:val="0"/>
    <w:rPr>
      <w:sz w:val="22"/>
      <w:szCs w:val="22"/>
    </w:rPr>
  </w:style>
  <w:style w:type="paragraph" w:customStyle="1" w:styleId="26">
    <w:name w:val="Style 1"/>
    <w:uiPriority w:val="0"/>
    <w:pPr>
      <w:widowControl w:val="0"/>
      <w:autoSpaceDE w:val="0"/>
      <w:autoSpaceDN w:val="0"/>
      <w:adjustRightInd w:val="0"/>
      <w:spacing w:before="0" w:beforeAutospacing="0" w:after="0" w:afterAutospacing="0" w:line="480" w:lineRule="auto"/>
      <w:ind w:left="0" w:right="0"/>
      <w:jc w:val="center"/>
    </w:pPr>
    <w:rPr>
      <w:rFonts w:ascii="Times New Roman" w:hAnsi="Times New Roman" w:eastAsia="Times New Roman" w:cs="Times New Roman"/>
      <w:sz w:val="20"/>
      <w:szCs w:val="20"/>
      <w:lang w:val="en-US" w:eastAsia="en-US" w:bidi="ar-SA"/>
    </w:rPr>
  </w:style>
  <w:style w:type="character" w:customStyle="1" w:styleId="27">
    <w:name w:val="Character Style 2"/>
    <w:qFormat/>
    <w:uiPriority w:val="0"/>
    <w:rPr>
      <w:rFonts w:ascii="Arial" w:hAnsi="Arial" w:cs="Arial"/>
      <w:sz w:val="20"/>
      <w:szCs w:val="20"/>
    </w:rPr>
  </w:style>
  <w:style w:type="paragraph" w:styleId="28">
    <w:name w:val="No Spacing"/>
    <w:qFormat/>
    <w:uiPriority w:val="1"/>
    <w:pPr>
      <w:spacing w:before="0" w:beforeAutospacing="0" w:after="0" w:afterAutospacing="0" w:line="240" w:lineRule="auto"/>
      <w:ind w:left="0" w:right="0"/>
      <w:jc w:val="left"/>
    </w:pPr>
    <w:rPr>
      <w:rFonts w:asciiTheme="minorHAnsi" w:hAnsiTheme="minorHAnsi" w:eastAsiaTheme="minorEastAsia" w:cstheme="minorBidi"/>
      <w:sz w:val="22"/>
      <w:szCs w:val="22"/>
      <w:lang w:val="en-US" w:eastAsia="en-US" w:bidi="ar-SA"/>
    </w:rPr>
  </w:style>
  <w:style w:type="character" w:customStyle="1" w:styleId="29">
    <w:name w:val="Balloon Text Char"/>
    <w:basedOn w:val="12"/>
    <w:link w:val="14"/>
    <w:semiHidden/>
    <w:qFormat/>
    <w:uiPriority w:val="99"/>
    <w:rPr>
      <w:rFonts w:ascii="Tahoma" w:hAnsi="Tahoma" w:cs="Tahoma"/>
      <w:sz w:val="16"/>
      <w:szCs w:val="16"/>
    </w:rPr>
  </w:style>
  <w:style w:type="character" w:customStyle="1" w:styleId="30">
    <w:name w:val="Heading 1 Char"/>
    <w:basedOn w:val="12"/>
    <w:link w:val="2"/>
    <w:qFormat/>
    <w:uiPriority w:val="9"/>
  </w:style>
  <w:style w:type="character" w:customStyle="1" w:styleId="31">
    <w:name w:val="Heading 2 Char"/>
    <w:basedOn w:val="12"/>
    <w:link w:val="4"/>
    <w:uiPriority w:val="9"/>
    <w:rPr>
      <w:rFonts w:ascii="Times New Roman" w:hAnsi="Times New Roman" w:eastAsia="Times New Roman" w:cs="Times New Roman"/>
      <w:b/>
      <w:bCs/>
      <w:sz w:val="36"/>
      <w:szCs w:val="36"/>
    </w:rPr>
  </w:style>
  <w:style w:type="character" w:customStyle="1" w:styleId="32">
    <w:name w:val="Heading 3 Char"/>
    <w:basedOn w:val="12"/>
    <w:link w:val="5"/>
    <w:uiPriority w:val="9"/>
    <w:rPr>
      <w:rFonts w:ascii="Times New Roman" w:hAnsi="Times New Roman" w:eastAsia="Times New Roman" w:cs="Times New Roman"/>
      <w:b/>
      <w:bCs/>
      <w:sz w:val="27"/>
      <w:szCs w:val="27"/>
    </w:rPr>
  </w:style>
  <w:style w:type="character" w:customStyle="1" w:styleId="33">
    <w:name w:val="Heading 4 Char"/>
    <w:basedOn w:val="12"/>
    <w:link w:val="6"/>
    <w:qFormat/>
    <w:uiPriority w:val="9"/>
    <w:rPr>
      <w:rFonts w:asciiTheme="majorHAnsi" w:hAnsiTheme="majorHAnsi" w:eastAsiaTheme="majorEastAsia" w:cstheme="majorBidi"/>
      <w:b/>
      <w:bCs/>
      <w:i/>
      <w:iCs/>
      <w:color w:val="4F81BD" w:themeColor="accent1"/>
    </w:rPr>
  </w:style>
  <w:style w:type="character" w:customStyle="1" w:styleId="34">
    <w:name w:val="Heading 5 Char"/>
    <w:basedOn w:val="12"/>
    <w:link w:val="7"/>
    <w:semiHidden/>
    <w:uiPriority w:val="9"/>
    <w:rPr>
      <w:rFonts w:asciiTheme="majorHAnsi" w:hAnsiTheme="majorHAnsi" w:eastAsiaTheme="majorEastAsia" w:cstheme="majorBidi"/>
      <w:color w:val="366091" w:themeColor="accent1" w:themeShade="BF"/>
    </w:rPr>
  </w:style>
  <w:style w:type="character" w:customStyle="1" w:styleId="35">
    <w:name w:val="Heading 6 Char"/>
    <w:basedOn w:val="12"/>
    <w:link w:val="8"/>
    <w:semiHidden/>
    <w:qFormat/>
    <w:uiPriority w:val="9"/>
    <w:rPr>
      <w:rFonts w:asciiTheme="majorHAnsi" w:hAnsiTheme="majorHAnsi" w:eastAsiaTheme="majorEastAsia" w:cstheme="majorBidi"/>
      <w:color w:val="243F61" w:themeColor="accent1" w:themeShade="7F"/>
    </w:rPr>
  </w:style>
  <w:style w:type="character" w:customStyle="1" w:styleId="36">
    <w:name w:val="Heading 7 Char"/>
    <w:basedOn w:val="12"/>
    <w:link w:val="9"/>
    <w:semiHidden/>
    <w:qFormat/>
    <w:uiPriority w:val="9"/>
    <w:rPr>
      <w:rFonts w:asciiTheme="majorHAnsi" w:hAnsiTheme="majorHAnsi" w:eastAsiaTheme="majorEastAsia" w:cstheme="majorBidi"/>
      <w:i/>
      <w:iCs/>
      <w:color w:val="243F61" w:themeColor="accent1" w:themeShade="7F"/>
    </w:rPr>
  </w:style>
  <w:style w:type="character" w:customStyle="1" w:styleId="37">
    <w:name w:val="Heading 8 Char"/>
    <w:basedOn w:val="12"/>
    <w:link w:val="10"/>
    <w:semiHidden/>
    <w:qFormat/>
    <w:uiPriority w:val="9"/>
    <w:rPr>
      <w:rFonts w:asciiTheme="majorHAnsi" w:hAnsiTheme="majorHAnsi" w:eastAsiaTheme="majorEastAsia" w:cstheme="majorBidi"/>
      <w:color w:val="262626" w:themeColor="text1" w:themeTint="D8"/>
      <w:sz w:val="21"/>
      <w:szCs w:val="21"/>
    </w:rPr>
  </w:style>
  <w:style w:type="character" w:customStyle="1" w:styleId="38">
    <w:name w:val="Heading 9 Char"/>
    <w:basedOn w:val="12"/>
    <w:link w:val="11"/>
    <w:semiHidden/>
    <w:qFormat/>
    <w:uiPriority w:val="9"/>
    <w:rPr>
      <w:rFonts w:asciiTheme="majorHAnsi" w:hAnsiTheme="majorHAnsi" w:eastAsiaTheme="majorEastAsia" w:cstheme="majorBidi"/>
      <w:i/>
      <w:iCs/>
      <w:color w:val="262626" w:themeColor="text1" w:themeTint="D8"/>
      <w:sz w:val="21"/>
      <w:szCs w:val="21"/>
    </w:rPr>
  </w:style>
  <w:style w:type="paragraph" w:customStyle="1" w:styleId="39">
    <w:name w:val="Bibliography"/>
    <w:basedOn w:val="1"/>
    <w:next w:val="1"/>
    <w:unhideWhenUsed/>
    <w:qFormat/>
    <w:uiPriority w:val="37"/>
    <w:pPr>
      <w:spacing w:after="0" w:line="240" w:lineRule="auto"/>
      <w:ind w:left="720" w:hanging="720"/>
    </w:pPr>
  </w:style>
  <w:style w:type="paragraph" w:customStyle="1" w:styleId="40">
    <w:name w:val="Default"/>
    <w:uiPriority w:val="0"/>
    <w:pPr>
      <w:autoSpaceDE w:val="0"/>
      <w:autoSpaceDN w:val="0"/>
      <w:adjustRightInd w:val="0"/>
      <w:spacing w:before="0" w:beforeAutospacing="0" w:after="0" w:afterAutospacing="0" w:line="240" w:lineRule="auto"/>
      <w:ind w:left="0" w:right="0"/>
      <w:jc w:val="left"/>
    </w:pPr>
    <w:rPr>
      <w:rFonts w:ascii="Myriad Pro Light" w:hAnsi="Myriad Pro Light" w:cs="Myriad Pro Light" w:eastAsiaTheme="minorHAnsi"/>
      <w:color w:val="000000"/>
      <w:sz w:val="24"/>
      <w:szCs w:val="24"/>
      <w:lang w:val="en-US" w:eastAsia="en-US" w:bidi="ar-SA"/>
    </w:rPr>
  </w:style>
  <w:style w:type="character" w:customStyle="1" w:styleId="41">
    <w:name w:val="Header Char"/>
    <w:basedOn w:val="12"/>
    <w:link w:val="20"/>
    <w:qFormat/>
    <w:uiPriority w:val="99"/>
  </w:style>
  <w:style w:type="character" w:customStyle="1" w:styleId="42">
    <w:name w:val="Footer Char"/>
    <w:basedOn w:val="12"/>
    <w:link w:val="17"/>
    <w:qFormat/>
    <w:uiPriority w:val="99"/>
  </w:style>
  <w:style w:type="paragraph" w:customStyle="1" w:styleId="43">
    <w:name w:val="Style 8"/>
    <w:qFormat/>
    <w:uiPriority w:val="0"/>
    <w:pPr>
      <w:widowControl w:val="0"/>
      <w:autoSpaceDE w:val="0"/>
      <w:autoSpaceDN w:val="0"/>
      <w:spacing w:before="0" w:beforeAutospacing="0" w:after="0" w:afterAutospacing="0" w:line="480" w:lineRule="auto"/>
      <w:ind w:left="72" w:right="0"/>
      <w:jc w:val="center"/>
    </w:pPr>
    <w:rPr>
      <w:rFonts w:ascii="Arial" w:hAnsi="Arial" w:eastAsia="Times New Roman" w:cs="Arial"/>
      <w:sz w:val="20"/>
      <w:szCs w:val="20"/>
      <w:lang w:val="en-US" w:eastAsia="en-US" w:bidi="ar-SA"/>
    </w:rPr>
  </w:style>
  <w:style w:type="paragraph" w:customStyle="1" w:styleId="44">
    <w:name w:val="Style 12"/>
    <w:qFormat/>
    <w:uiPriority w:val="0"/>
    <w:pPr>
      <w:widowControl w:val="0"/>
      <w:autoSpaceDE w:val="0"/>
      <w:autoSpaceDN w:val="0"/>
      <w:spacing w:before="180" w:beforeAutospacing="0" w:after="0" w:afterAutospacing="0" w:line="360" w:lineRule="auto"/>
      <w:ind w:left="72" w:right="0"/>
      <w:jc w:val="center"/>
    </w:pPr>
    <w:rPr>
      <w:rFonts w:ascii="Garamond" w:hAnsi="Garamond" w:eastAsia="Times New Roman" w:cs="Garamond"/>
      <w:sz w:val="22"/>
      <w:szCs w:val="22"/>
      <w:lang w:val="en-US" w:eastAsia="en-US" w:bidi="ar-SA"/>
    </w:rPr>
  </w:style>
  <w:style w:type="character" w:customStyle="1" w:styleId="45">
    <w:name w:val="reference-accessdate"/>
    <w:qFormat/>
    <w:uiPriority w:val="0"/>
  </w:style>
  <w:style w:type="table" w:customStyle="1" w:styleId="46">
    <w:name w:val="Plain Table 21"/>
    <w:basedOn w:val="13"/>
    <w:uiPriority w:val="42"/>
    <w:pPr>
      <w:spacing w:before="0" w:beforeAutospacing="0" w:after="0" w:afterAutospacing="0" w:line="240" w:lineRule="auto"/>
      <w:ind w:left="0" w:right="0"/>
      <w:jc w:val="left"/>
    </w:pPr>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47">
    <w:name w:val="Footnote Text Char"/>
    <w:basedOn w:val="12"/>
    <w:link w:val="19"/>
    <w:semiHidden/>
    <w:uiPriority w:val="99"/>
    <w:rPr>
      <w:sz w:val="20"/>
      <w:szCs w:val="20"/>
    </w:rPr>
  </w:style>
  <w:style w:type="character" w:customStyle="1" w:styleId="48">
    <w:name w:val="Body Text Char"/>
    <w:basedOn w:val="12"/>
    <w:link w:val="15"/>
    <w:uiPriority w:val="1"/>
    <w:rPr>
      <w:rFonts w:ascii="Arial" w:hAnsi="Arial" w:eastAsia="Arial" w:cs="Aria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96887-D80E-491E-BF1F-95F26F682FF2}">
  <ds:schemaRefs/>
</ds:datastoreItem>
</file>

<file path=docProps/app.xml><?xml version="1.0" encoding="utf-8"?>
<Properties xmlns="http://schemas.openxmlformats.org/officeDocument/2006/extended-properties" xmlns:vt="http://schemas.openxmlformats.org/officeDocument/2006/docPropsVTypes">
  <Template>Normal</Template>
  <Pages>2</Pages>
  <Words>2640</Words>
  <Characters>15051</Characters>
  <Lines>125</Lines>
  <Paragraphs>35</Paragraphs>
  <TotalTime>4813</TotalTime>
  <ScaleCrop>false</ScaleCrop>
  <LinksUpToDate>false</LinksUpToDate>
  <CharactersWithSpaces>17656</CharactersWithSpaces>
  <Application>WPS Office_12.2.0.20323_F1E327BC-269C-435d-A152-05C5408002CA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2021-02-27T05:16:00Z</dcterms:created>
  <dc:creator>User</dc:creator>
  <cp:lastModifiedBy>Masud DKC</cp:lastModifiedBy>
  <cp:lastPrinted>2021-03-27T06:06:00Z</cp:lastPrinted>
  <dcterms:modified xsi:type="dcterms:W3CDTF">2026-01-15T06:39:23Z</dcterms:modified>
  <cp:revision>263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1033-12.2.0.20323</vt:lpwstr>
  </property>
  <property fmtid="{D5CDD505-2E9C-101B-9397-08002B2CF9AE}" pid="3" name="ICV">
    <vt:lpwstr>A121CE69931649A6B4E6E6532253E3D1_12</vt:lpwstr>
  </property>
</Properties>
</file>