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3D8F30">
      <w:pPr>
        <w:spacing w:after="0" w:line="240" w:lineRule="auto"/>
        <w:jc w:val="center"/>
        <w:rPr>
          <w:rFonts w:ascii="Times New Roman" w:hAnsi="Times New Roman" w:eastAsia="Tw Cen MT" w:cs="Times New Roman"/>
          <w:b/>
          <w:sz w:val="24"/>
          <w:szCs w:val="24"/>
          <w:lang w:val="en-US"/>
        </w:rPr>
      </w:pPr>
      <w:r>
        <w:rPr>
          <w:rFonts w:ascii="Times New Roman" w:hAnsi="Times New Roman" w:eastAsia="Tw Cen MT" w:cs="Times New Roman"/>
          <w:b/>
          <w:sz w:val="24"/>
          <w:szCs w:val="24"/>
          <w:lang w:val="en-US"/>
        </w:rPr>
        <w:t xml:space="preserve">Title: </w:t>
      </w:r>
      <w:r>
        <w:rPr>
          <w:rFonts w:hint="eastAsia" w:ascii="Times New Roman" w:hAnsi="Times New Roman" w:eastAsia="Tw Cen MT" w:cs="Times New Roman"/>
          <w:b/>
          <w:sz w:val="24"/>
          <w:szCs w:val="24"/>
          <w:lang w:val="en-US"/>
        </w:rPr>
        <w:t xml:space="preserve">Crosstalk between ECs and VSMCs mediated vascular calcification in CKD by exosomal miRNA-299 </w:t>
      </w:r>
    </w:p>
    <w:p w14:paraId="3260B1AD">
      <w:pPr>
        <w:spacing w:after="0" w:line="240" w:lineRule="auto"/>
        <w:rPr>
          <w:rFonts w:ascii="Times New Roman" w:hAnsi="Times New Roman" w:eastAsia="Tw Cen MT" w:cs="Times New Roman"/>
          <w:b/>
          <w:sz w:val="24"/>
          <w:szCs w:val="24"/>
          <w:lang w:val="en-US"/>
        </w:rPr>
      </w:pPr>
    </w:p>
    <w:p w14:paraId="070527A8">
      <w:pPr>
        <w:spacing w:after="0" w:line="240" w:lineRule="auto"/>
        <w:jc w:val="center"/>
        <w:rPr>
          <w:rFonts w:hint="eastAsia" w:ascii="Times New Roman" w:hAnsi="Times New Roman" w:eastAsia="Tw Cen MT" w:cs="Times New Roman"/>
          <w:sz w:val="24"/>
          <w:szCs w:val="24"/>
          <w:vertAlign w:val="superscript"/>
          <w:lang w:val="en-US"/>
        </w:rPr>
      </w:pPr>
      <w:r>
        <w:rPr>
          <w:rFonts w:hint="eastAsia" w:ascii="Times New Roman" w:hAnsi="Times New Roman" w:eastAsia="Tw Cen MT" w:cs="Times New Roman"/>
          <w:sz w:val="24"/>
          <w:szCs w:val="24"/>
          <w:lang w:val="en-US"/>
        </w:rPr>
        <w:t>Si-Jie Chen</w:t>
      </w:r>
      <w:r>
        <w:rPr>
          <w:rFonts w:hint="eastAsia" w:ascii="Times New Roman" w:hAnsi="Times New Roman" w:eastAsia="Tw Cen MT" w:cs="Times New Roman"/>
          <w:sz w:val="24"/>
          <w:szCs w:val="24"/>
          <w:vertAlign w:val="superscript"/>
          <w:lang w:val="en-US"/>
        </w:rPr>
        <w:t>1</w:t>
      </w:r>
      <w:r>
        <w:rPr>
          <w:rFonts w:hint="eastAsia" w:ascii="Times New Roman" w:hAnsi="Times New Roman" w:eastAsia="Tw Cen MT" w:cs="Times New Roman"/>
          <w:sz w:val="24"/>
          <w:szCs w:val="24"/>
          <w:lang w:val="en-US"/>
        </w:rPr>
        <w:t>, Ri-Ning Tang</w:t>
      </w:r>
      <w:r>
        <w:rPr>
          <w:rFonts w:hint="eastAsia" w:ascii="Times New Roman" w:hAnsi="Times New Roman" w:eastAsia="Tw Cen MT" w:cs="Times New Roman"/>
          <w:sz w:val="24"/>
          <w:szCs w:val="24"/>
          <w:vertAlign w:val="superscript"/>
          <w:lang w:val="en-US"/>
        </w:rPr>
        <w:t>1</w:t>
      </w:r>
      <w:r>
        <w:rPr>
          <w:rFonts w:hint="eastAsia" w:ascii="Times New Roman" w:hAnsi="Times New Roman" w:eastAsia="Tw Cen MT" w:cs="Times New Roman"/>
          <w:sz w:val="24"/>
          <w:szCs w:val="24"/>
          <w:lang w:val="en-US"/>
        </w:rPr>
        <w:t>, Bi-Cheng Liu</w:t>
      </w:r>
      <w:r>
        <w:rPr>
          <w:rFonts w:hint="eastAsia" w:ascii="Times New Roman" w:hAnsi="Times New Roman" w:eastAsia="Tw Cen MT" w:cs="Times New Roman"/>
          <w:sz w:val="24"/>
          <w:szCs w:val="24"/>
          <w:vertAlign w:val="superscript"/>
          <w:lang w:val="en-US"/>
        </w:rPr>
        <w:t>1#</w:t>
      </w:r>
    </w:p>
    <w:p w14:paraId="0EAD17CA">
      <w:pPr>
        <w:spacing w:after="0" w:line="240" w:lineRule="auto"/>
        <w:jc w:val="center"/>
        <w:rPr>
          <w:rFonts w:hint="eastAsia" w:ascii="Times New Roman" w:hAnsi="Times New Roman" w:eastAsia="Tw Cen MT" w:cs="Times New Roman"/>
          <w:sz w:val="24"/>
          <w:szCs w:val="24"/>
          <w:vertAlign w:val="superscript"/>
          <w:lang w:val="en-US"/>
        </w:rPr>
      </w:pPr>
    </w:p>
    <w:p w14:paraId="7615EC47">
      <w:pPr>
        <w:spacing w:after="0" w:line="240" w:lineRule="auto"/>
        <w:rPr>
          <w:rFonts w:hint="eastAsia" w:ascii="Times New Roman" w:hAnsi="Times New Roman" w:eastAsia="Calibri" w:cs="Times New Roman"/>
          <w:i/>
          <w:sz w:val="24"/>
          <w:szCs w:val="24"/>
          <w:lang w:val="en-US"/>
        </w:rPr>
      </w:pPr>
      <w:r>
        <w:rPr>
          <w:rFonts w:ascii="Times New Roman" w:hAnsi="Times New Roman" w:eastAsia="Calibri" w:cs="Times New Roman"/>
          <w:i/>
          <w:sz w:val="24"/>
          <w:szCs w:val="24"/>
          <w:vertAlign w:val="superscript"/>
          <w:lang w:val="en-US"/>
        </w:rPr>
        <w:t>1</w:t>
      </w:r>
      <w:r>
        <w:rPr>
          <w:rFonts w:hint="eastAsia" w:ascii="Times New Roman" w:hAnsi="Times New Roman" w:eastAsia="Calibri" w:cs="Times New Roman"/>
          <w:i/>
          <w:sz w:val="24"/>
          <w:szCs w:val="24"/>
          <w:lang w:val="en-US"/>
        </w:rPr>
        <w:t>Institute of Nephrology, Zhongda Hospital, School of Medicine, Southeast University, Nanjing, China.</w:t>
      </w:r>
    </w:p>
    <w:p w14:paraId="383E7314">
      <w:pPr>
        <w:spacing w:after="0" w:line="240" w:lineRule="auto"/>
        <w:rPr>
          <w:rFonts w:hint="eastAsia" w:ascii="Times New Roman" w:hAnsi="Times New Roman" w:eastAsia="Calibri" w:cs="Times New Roman"/>
          <w:i/>
          <w:sz w:val="24"/>
          <w:szCs w:val="24"/>
          <w:lang w:val="en-US"/>
        </w:rPr>
      </w:pPr>
    </w:p>
    <w:p w14:paraId="265BA942">
      <w:pPr>
        <w:spacing w:after="0" w:line="240" w:lineRule="auto"/>
        <w:rPr>
          <w:rFonts w:ascii="Times New Roman" w:hAnsi="Times New Roman" w:eastAsia="Calibri" w:cs="Times New Roman"/>
          <w:b/>
          <w:color w:val="E46C0A" w:themeColor="accent6" w:themeShade="BF"/>
          <w:sz w:val="24"/>
          <w:szCs w:val="24"/>
          <w:lang w:val="en-US"/>
        </w:rPr>
      </w:pPr>
      <w:r>
        <w:rPr>
          <w:rFonts w:ascii="Times New Roman" w:hAnsi="Times New Roman" w:eastAsia="Calibri" w:cs="Times New Roman"/>
          <w:b/>
          <w:color w:val="E46C0A" w:themeColor="accent6" w:themeShade="BF"/>
          <w:sz w:val="24"/>
          <w:szCs w:val="24"/>
          <w:lang w:val="en-US"/>
        </w:rPr>
        <w:t>Abstract</w:t>
      </w:r>
    </w:p>
    <w:p w14:paraId="2D92394A">
      <w:pPr>
        <w:spacing w:after="0" w:line="240" w:lineRule="auto"/>
        <w:rPr>
          <w:rFonts w:ascii="Times New Roman" w:hAnsi="Times New Roman" w:eastAsia="Calibri" w:cs="Times New Roman"/>
          <w:sz w:val="24"/>
          <w:szCs w:val="24"/>
          <w:lang w:val="en-US"/>
        </w:rPr>
        <w:sectPr>
          <w:pgSz w:w="11906" w:h="16838"/>
          <w:pgMar w:top="993" w:right="991" w:bottom="1440" w:left="993" w:header="708" w:footer="708" w:gutter="0"/>
          <w:cols w:space="708" w:num="1"/>
          <w:docGrid w:linePitch="360" w:charSpace="0"/>
        </w:sectPr>
      </w:pPr>
    </w:p>
    <w:p w14:paraId="09D29FCB">
      <w:pPr>
        <w:spacing w:after="0" w:line="240" w:lineRule="auto"/>
        <w:jc w:val="both"/>
        <w:rPr>
          <w:rFonts w:ascii="Times New Roman" w:hAnsi="Times New Roman" w:eastAsia="Calibri" w:cs="Times New Roman"/>
          <w:sz w:val="24"/>
          <w:szCs w:val="24"/>
          <w:lang w:val="en-US"/>
        </w:rPr>
      </w:pPr>
      <w:r>
        <w:rPr>
          <w:rFonts w:hint="eastAsia" w:ascii="Times New Roman" w:hAnsi="Times New Roman" w:eastAsia="Calibri" w:cs="Times New Roman"/>
          <w:sz w:val="24"/>
          <w:szCs w:val="24"/>
          <w:lang w:val="en-US"/>
        </w:rPr>
        <w:t>Chronic kidney disease (CKD) is often complicated by vascular calcification (VC). Stimulated endothelial cells (ECs) can promote vascular smooth muscle cells (VSMCs) to the osteogenic phenotype, leading to VC. However, the mechanism by which ECs promote phenotypic transformation of VSMCs is unclear. This research aimed to explore whether ECs can promote osteogenic transdifferentiation of VSMC and its related signaling pathways by releasing exosomes. EC-Exos was isolated, and VSMCs were detected. miRNA omics was applied to explore exosomal miRNA’s differential levels. Osteogenic transcription factors’ protein and mRNA levels were exploded. We found that ECs’ high phosphate-induced exosomes (HP-Exos) were absorbed by VSMCs, promoting VSMCs’ osteogenic transdifferentiation. Omics analysis showed that miRNA-299 expression in exosomes after ECs was up-regulated by high phosphorus. Specific knockout of miR299-3p could significantly inhibit VC in mice fed a high phosphate and adenine diet. The downstream target of miR299-3p was MARCH</w:t>
      </w:r>
      <w:r>
        <w:rPr>
          <w:rFonts w:hint="eastAsia" w:ascii="Times New Roman" w:hAnsi="Times New Roman" w:eastAsia="宋体" w:cs="Times New Roman"/>
          <w:sz w:val="24"/>
          <w:szCs w:val="24"/>
          <w:lang w:val="en-US" w:eastAsia="zh-CN"/>
        </w:rPr>
        <w:t>7</w:t>
      </w:r>
      <w:bookmarkStart w:id="0" w:name="_GoBack"/>
      <w:bookmarkEnd w:id="0"/>
      <w:r>
        <w:rPr>
          <w:rFonts w:hint="eastAsia" w:ascii="Times New Roman" w:hAnsi="Times New Roman" w:eastAsia="Calibri" w:cs="Times New Roman"/>
          <w:sz w:val="24"/>
          <w:szCs w:val="24"/>
          <w:lang w:val="en-US"/>
        </w:rPr>
        <w:t>. Knocking down MARCH</w:t>
      </w:r>
      <w:r>
        <w:rPr>
          <w:rFonts w:hint="eastAsia" w:ascii="Times New Roman" w:hAnsi="Times New Roman" w:eastAsia="宋体" w:cs="Times New Roman"/>
          <w:sz w:val="24"/>
          <w:szCs w:val="24"/>
          <w:lang w:val="en-US" w:eastAsia="zh-CN"/>
        </w:rPr>
        <w:t>7</w:t>
      </w:r>
      <w:r>
        <w:rPr>
          <w:rFonts w:hint="eastAsia" w:ascii="Times New Roman" w:hAnsi="Times New Roman" w:eastAsia="Calibri" w:cs="Times New Roman"/>
          <w:sz w:val="24"/>
          <w:szCs w:val="24"/>
          <w:lang w:val="en-US"/>
        </w:rPr>
        <w:t xml:space="preserve"> expression with small interfering RNAs aggravated VSMCs’ calcification and activated the </w:t>
      </w:r>
      <w:r>
        <w:rPr>
          <w:rFonts w:hint="eastAsia" w:ascii="Times New Roman" w:hAnsi="Times New Roman" w:eastAsia="宋体" w:cs="Times New Roman"/>
          <w:sz w:val="24"/>
          <w:szCs w:val="24"/>
          <w:lang w:val="en-US" w:eastAsia="zh-CN"/>
        </w:rPr>
        <w:t>PI3K</w:t>
      </w:r>
      <w:r>
        <w:rPr>
          <w:rFonts w:hint="eastAsia" w:ascii="Times New Roman" w:hAnsi="Times New Roman" w:eastAsia="Calibri" w:cs="Times New Roman"/>
          <w:sz w:val="24"/>
          <w:szCs w:val="24"/>
          <w:lang w:val="en-US"/>
        </w:rPr>
        <w:t>/</w:t>
      </w:r>
      <w:r>
        <w:rPr>
          <w:rFonts w:hint="eastAsia" w:ascii="Times New Roman" w:hAnsi="Times New Roman" w:eastAsia="宋体" w:cs="Times New Roman"/>
          <w:sz w:val="24"/>
          <w:szCs w:val="24"/>
          <w:lang w:val="en-US" w:eastAsia="zh-CN"/>
        </w:rPr>
        <w:t>AKT</w:t>
      </w:r>
      <w:r>
        <w:rPr>
          <w:rFonts w:hint="eastAsia" w:ascii="Times New Roman" w:hAnsi="Times New Roman" w:eastAsia="Calibri" w:cs="Times New Roman"/>
          <w:sz w:val="24"/>
          <w:szCs w:val="24"/>
          <w:lang w:val="en-US"/>
        </w:rPr>
        <w:t xml:space="preserve"> signaling pathway. In sum, the HP-treated endothelium-derived exosome miR-299-3p can promote aortic calcification by targeting MARCH</w:t>
      </w:r>
      <w:r>
        <w:rPr>
          <w:rFonts w:hint="eastAsia" w:ascii="Times New Roman" w:hAnsi="Times New Roman" w:eastAsia="宋体" w:cs="Times New Roman"/>
          <w:sz w:val="24"/>
          <w:szCs w:val="24"/>
          <w:lang w:val="en-US" w:eastAsia="zh-CN"/>
        </w:rPr>
        <w:t>7</w:t>
      </w:r>
      <w:r>
        <w:rPr>
          <w:rFonts w:hint="eastAsia" w:ascii="Times New Roman" w:hAnsi="Times New Roman" w:eastAsia="Calibri" w:cs="Times New Roman"/>
          <w:sz w:val="24"/>
          <w:szCs w:val="24"/>
          <w:lang w:val="en-US"/>
        </w:rPr>
        <w:t xml:space="preserve">. The </w:t>
      </w:r>
      <w:r>
        <w:rPr>
          <w:rFonts w:hint="eastAsia" w:ascii="Times New Roman" w:hAnsi="Times New Roman" w:eastAsia="宋体" w:cs="Times New Roman"/>
          <w:sz w:val="24"/>
          <w:szCs w:val="24"/>
          <w:lang w:val="en-US" w:eastAsia="zh-CN"/>
        </w:rPr>
        <w:t>PI3K</w:t>
      </w:r>
      <w:r>
        <w:rPr>
          <w:rFonts w:hint="eastAsia" w:ascii="Times New Roman" w:hAnsi="Times New Roman" w:eastAsia="Calibri" w:cs="Times New Roman"/>
          <w:sz w:val="24"/>
          <w:szCs w:val="24"/>
          <w:lang w:val="en-US"/>
        </w:rPr>
        <w:t>/</w:t>
      </w:r>
      <w:r>
        <w:rPr>
          <w:rFonts w:hint="eastAsia" w:ascii="Times New Roman" w:hAnsi="Times New Roman" w:eastAsia="宋体" w:cs="Times New Roman"/>
          <w:sz w:val="24"/>
          <w:szCs w:val="24"/>
          <w:lang w:val="en-US" w:eastAsia="zh-CN"/>
        </w:rPr>
        <w:t>AKT</w:t>
      </w:r>
      <w:r>
        <w:rPr>
          <w:rFonts w:hint="eastAsia" w:ascii="Times New Roman" w:hAnsi="Times New Roman" w:eastAsia="Calibri" w:cs="Times New Roman"/>
          <w:sz w:val="24"/>
          <w:szCs w:val="24"/>
          <w:lang w:val="en-US"/>
        </w:rPr>
        <w:t xml:space="preserve"> pathway’s activation may be a mechanism by which exosomes promote VSMC calcification, and MARCH</w:t>
      </w:r>
      <w:r>
        <w:rPr>
          <w:rFonts w:hint="eastAsia" w:ascii="Times New Roman" w:hAnsi="Times New Roman" w:eastAsia="宋体" w:cs="Times New Roman"/>
          <w:sz w:val="24"/>
          <w:szCs w:val="24"/>
          <w:lang w:val="en-US" w:eastAsia="zh-CN"/>
        </w:rPr>
        <w:t>7</w:t>
      </w:r>
      <w:r>
        <w:rPr>
          <w:rFonts w:hint="eastAsia" w:ascii="Times New Roman" w:hAnsi="Times New Roman" w:eastAsia="Calibri" w:cs="Times New Roman"/>
          <w:sz w:val="24"/>
          <w:szCs w:val="24"/>
          <w:lang w:val="en-US"/>
        </w:rPr>
        <w:t xml:space="preserve"> may be a novel target for treating patients with VC with CKD.</w:t>
      </w:r>
    </w:p>
    <w:p w14:paraId="3790535A">
      <w:pPr>
        <w:spacing w:after="0" w:line="240" w:lineRule="auto"/>
        <w:jc w:val="both"/>
        <w:rPr>
          <w:rFonts w:ascii="Times New Roman" w:hAnsi="Times New Roman" w:eastAsia="Calibri" w:cs="Times New Roman"/>
          <w:sz w:val="24"/>
          <w:szCs w:val="24"/>
          <w:lang w:val="en-US"/>
        </w:rPr>
      </w:pPr>
    </w:p>
    <w:p w14:paraId="27023326">
      <w:pPr>
        <w:spacing w:after="0" w:line="240" w:lineRule="auto"/>
        <w:jc w:val="both"/>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(100-500 words)</w:t>
      </w:r>
    </w:p>
    <w:p w14:paraId="38A0095E">
      <w:pPr>
        <w:spacing w:after="0" w:line="240" w:lineRule="auto"/>
        <w:rPr>
          <w:rFonts w:ascii="Times New Roman" w:hAnsi="Times New Roman" w:eastAsia="Calibri" w:cs="Times New Roman"/>
          <w:sz w:val="24"/>
          <w:szCs w:val="24"/>
          <w:lang w:val="en-US"/>
        </w:rPr>
        <w:sectPr>
          <w:type w:val="continuous"/>
          <w:pgSz w:w="11906" w:h="16838"/>
          <w:pgMar w:top="1440" w:right="991" w:bottom="1440" w:left="993" w:header="708" w:footer="708" w:gutter="0"/>
          <w:cols w:space="284" w:num="2"/>
          <w:docGrid w:linePitch="360" w:charSpace="0"/>
        </w:sectPr>
      </w:pPr>
    </w:p>
    <w:p w14:paraId="5E3C7D05">
      <w:pPr>
        <w:spacing w:after="0" w:line="240" w:lineRule="auto"/>
        <w:rPr>
          <w:rFonts w:ascii="Times New Roman" w:hAnsi="Times New Roman" w:eastAsia="Calibri" w:cs="Times New Roman"/>
          <w:sz w:val="24"/>
          <w:szCs w:val="24"/>
          <w:lang w:val="en-US"/>
        </w:rPr>
      </w:pPr>
    </w:p>
    <w:p w14:paraId="5A9C3FAA">
      <w:pPr>
        <w:spacing w:after="0" w:line="240" w:lineRule="auto"/>
        <w:rPr>
          <w:rFonts w:ascii="Times New Roman" w:hAnsi="Times New Roman" w:eastAsia="Calibri" w:cs="Times New Roman"/>
          <w:b/>
          <w:color w:val="E46C0A" w:themeColor="accent6" w:themeShade="BF"/>
          <w:sz w:val="24"/>
          <w:szCs w:val="24"/>
          <w:lang w:val="en-US"/>
        </w:rPr>
      </w:pPr>
      <w:r>
        <w:rPr>
          <w:rFonts w:ascii="Times New Roman" w:hAnsi="Times New Roman" w:eastAsia="Calibri" w:cs="Times New Roman"/>
          <w:b/>
          <w:color w:val="E46C0A" w:themeColor="accent6" w:themeShade="BF"/>
          <w:sz w:val="24"/>
          <w:szCs w:val="24"/>
          <w:lang w:val="en-US"/>
        </w:rPr>
        <w:t>References</w:t>
      </w:r>
    </w:p>
    <w:p w14:paraId="64504FC0">
      <w:pPr>
        <w:pStyle w:val="6"/>
        <w:numPr>
          <w:ilvl w:val="0"/>
          <w:numId w:val="1"/>
        </w:numPr>
        <w:autoSpaceDE w:val="0"/>
        <w:autoSpaceDN w:val="0"/>
        <w:adjustRightInd w:val="0"/>
        <w:spacing w:line="240" w:lineRule="auto"/>
        <w:rPr>
          <w:rFonts w:ascii="Times New Roman" w:hAnsi="Times New Roman" w:eastAsia="Times New Roman" w:cs="Times New Roman"/>
          <w:sz w:val="24"/>
          <w:szCs w:val="24"/>
        </w:rPr>
      </w:pPr>
      <w:r>
        <w:rPr>
          <w:rFonts w:hint="eastAsia" w:ascii="Times New Roman" w:hAnsi="Times New Roman" w:eastAsia="Times New Roman" w:cs="Times New Roman"/>
          <w:sz w:val="24"/>
          <w:szCs w:val="24"/>
        </w:rPr>
        <w:t>Chen SJ, Tang RN, Liu BC. Current Understanding of Cardiovascular Calcification in Patients with Chronic Kidney Disease. Int J Mol Sci. 2024; 25.10225.</w:t>
      </w:r>
      <w:r>
        <w:rPr>
          <w:rFonts w:ascii="Times New Roman" w:hAnsi="Times New Roman" w:eastAsia="Times New Roman" w:cs="Times New Roman"/>
          <w:sz w:val="24"/>
          <w:szCs w:val="24"/>
        </w:rPr>
        <w:t xml:space="preserve"> </w:t>
      </w:r>
    </w:p>
    <w:p w14:paraId="61291347">
      <w:pPr>
        <w:pStyle w:val="6"/>
        <w:numPr>
          <w:ilvl w:val="0"/>
          <w:numId w:val="1"/>
        </w:numPr>
        <w:autoSpaceDE w:val="0"/>
        <w:autoSpaceDN w:val="0"/>
        <w:adjustRightInd w:val="0"/>
        <w:spacing w:line="240" w:lineRule="auto"/>
        <w:rPr>
          <w:rFonts w:ascii="Times New Roman" w:hAnsi="Times New Roman" w:eastAsia="Times New Roman" w:cs="Times New Roman"/>
          <w:sz w:val="24"/>
          <w:szCs w:val="24"/>
        </w:rPr>
      </w:pPr>
      <w:r>
        <w:rPr>
          <w:rFonts w:hint="eastAsia" w:ascii="Times New Roman" w:hAnsi="Times New Roman" w:eastAsia="Times New Roman" w:cs="Times New Roman"/>
          <w:sz w:val="24"/>
          <w:szCs w:val="24"/>
        </w:rPr>
        <w:t>Chen SJ, Lv</w:t>
      </w:r>
      <w:r>
        <w:rPr>
          <w:rFonts w:hint="eastAsia" w:ascii="Times New Roman" w:hAnsi="Times New Roman" w:eastAsia="宋体" w:cs="Times New Roman"/>
          <w:sz w:val="24"/>
          <w:szCs w:val="24"/>
          <w:lang w:val="en-US" w:eastAsia="zh-CN"/>
        </w:rPr>
        <w:t xml:space="preserve"> </w:t>
      </w:r>
      <w:r>
        <w:rPr>
          <w:rFonts w:hint="eastAsia" w:ascii="Times New Roman" w:hAnsi="Times New Roman" w:eastAsia="Times New Roman" w:cs="Times New Roman"/>
          <w:sz w:val="24"/>
          <w:szCs w:val="24"/>
        </w:rPr>
        <w:t>LL, Tang RN, Liu BC. Crosstalk between tubular epithelial cells and glomerular endothelial cells in diabetic kidney disease.</w:t>
      </w:r>
      <w:r>
        <w:rPr>
          <w:rFonts w:hint="eastAsia" w:ascii="Times New Roman" w:hAnsi="Times New Roman" w:eastAsia="宋体" w:cs="Times New Roman"/>
          <w:sz w:val="24"/>
          <w:szCs w:val="24"/>
          <w:lang w:val="en-US" w:eastAsia="zh-CN"/>
        </w:rPr>
        <w:t xml:space="preserve"> </w:t>
      </w:r>
      <w:r>
        <w:rPr>
          <w:rFonts w:hint="eastAsia" w:ascii="Times New Roman" w:hAnsi="Times New Roman" w:eastAsia="Times New Roman" w:cs="Times New Roman"/>
          <w:sz w:val="24"/>
          <w:szCs w:val="24"/>
        </w:rPr>
        <w:t>Cell Prolif</w:t>
      </w:r>
      <w:r>
        <w:rPr>
          <w:rFonts w:hint="eastAsia" w:ascii="Times New Roman" w:hAnsi="Times New Roman" w:eastAsia="宋体" w:cs="Times New Roman"/>
          <w:sz w:val="24"/>
          <w:szCs w:val="24"/>
          <w:lang w:val="en-US" w:eastAsia="zh-CN"/>
        </w:rPr>
        <w:t>.</w:t>
      </w:r>
      <w:r>
        <w:rPr>
          <w:rFonts w:hint="eastAsia" w:ascii="Times New Roman" w:hAnsi="Times New Roman" w:eastAsia="Times New Roman" w:cs="Times New Roman"/>
          <w:sz w:val="24"/>
          <w:szCs w:val="24"/>
        </w:rPr>
        <w:t xml:space="preserve"> 2020</w:t>
      </w:r>
      <w:r>
        <w:rPr>
          <w:rFonts w:hint="eastAsia" w:ascii="Times New Roman" w:hAnsi="Times New Roman" w:eastAsia="宋体" w:cs="Times New Roman"/>
          <w:sz w:val="24"/>
          <w:szCs w:val="24"/>
          <w:lang w:eastAsia="zh-CN"/>
        </w:rPr>
        <w:t>；</w:t>
      </w:r>
      <w:r>
        <w:rPr>
          <w:rFonts w:hint="eastAsia" w:ascii="Times New Roman" w:hAnsi="Times New Roman" w:eastAsia="Times New Roman" w:cs="Times New Roman"/>
          <w:sz w:val="24"/>
          <w:szCs w:val="24"/>
        </w:rPr>
        <w:t>53.</w:t>
      </w:r>
    </w:p>
    <w:p w14:paraId="4EEBC7EB">
      <w:pPr>
        <w:pStyle w:val="6"/>
        <w:numPr>
          <w:numId w:val="0"/>
        </w:numPr>
        <w:autoSpaceDE w:val="0"/>
        <w:autoSpaceDN w:val="0"/>
        <w:adjustRightInd w:val="0"/>
        <w:spacing w:line="240" w:lineRule="auto"/>
        <w:ind w:left="40" w:leftChars="0"/>
        <w:rPr>
          <w:rFonts w:ascii="Calibri"/>
          <w:sz w:val="24"/>
          <w:szCs w:val="24"/>
          <w:lang w:eastAsia="en-IN"/>
        </w:rPr>
      </w:pPr>
      <w:r>
        <w:rPr>
          <w:rFonts w:ascii="Calibri"/>
          <w:sz w:val="24"/>
          <w:szCs w:val="24"/>
          <w:lang w:eastAsia="en-IN"/>
        </w:rPr>
        <mc:AlternateContent>
          <mc:Choice Requires="wpg">
            <w:drawing>
              <wp:inline distT="0" distB="0" distL="0" distR="0">
                <wp:extent cx="3975735" cy="25400"/>
                <wp:effectExtent l="1270" t="0" r="4445" b="3175"/>
                <wp:docPr id="14"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id="Group 4" o:spid="_x0000_s1026" o:spt="203" style="height:2pt;width:313.05pt;" coordsize="6261,40" o:gfxdata="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mSUQYdQAAAADAQAADwAAAAAAAAABACAA&#10;AAAiAAAAZHJzL2Rvd25yZXYueG1sUEsBAhQAFAAAAAgAh07iQFwbqocRAgAAlQQAAA4AAAAAAAAA&#10;AQAgAAAAIwEAAGRycy9lMm9Eb2MueG1sUEsFBgAAAAAGAAYAWQEAAKYFAAAAAA==&#10;">
                <o:lock v:ext="edit" aspectratio="f"/>
                <v:line id="Line 5" o:spid="_x0000_s1026" o:spt="20" style="position:absolute;left:20;top:20;height:0;width:6221;" filled="f" stroked="t" coordsize="21600,21600" o:gfxdata="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l7Txu5AAAA2wAA&#10;AA8AAAAAAAAAAQAgAAAAIgAAAGRycy9kb3ducmV2LnhtbFBLAQIUABQAAAAIAIdO4kAzLwWeOwAA&#10;ADkAAAAQAAAAAAAAAAEAIAAAAAgBAABkcnMvc2hhcGV4bWwueG1sUEsFBgAAAAAGAAYAWwEAALID&#10;AAAAAA==&#10;">
                  <v:fill on="f" focussize="0,0"/>
                  <v:stroke weight="2pt" color="#004080" joinstyle="round"/>
                  <v:imagedata o:title=""/>
                  <o:lock v:ext="edit" aspectratio="f"/>
                </v:line>
                <w10:wrap type="none"/>
                <w10:anchorlock/>
              </v:group>
            </w:pict>
          </mc:Fallback>
        </mc:AlternateContent>
      </w:r>
    </w:p>
    <w:p w14:paraId="494FFE7A">
      <w:pPr>
        <w:pStyle w:val="6"/>
        <w:numPr>
          <w:numId w:val="0"/>
        </w:numPr>
        <w:autoSpaceDE w:val="0"/>
        <w:autoSpaceDN w:val="0"/>
        <w:adjustRightInd w:val="0"/>
        <w:spacing w:line="240" w:lineRule="auto"/>
        <w:ind w:left="40" w:leftChars="0"/>
        <w:rPr>
          <w:rFonts w:ascii="Calibri"/>
          <w:sz w:val="24"/>
          <w:szCs w:val="24"/>
          <w:lang w:eastAsia="en-IN"/>
        </w:rPr>
      </w:pPr>
    </w:p>
    <w:p w14:paraId="7E433F4D">
      <w:pPr>
        <w:autoSpaceDE w:val="0"/>
        <w:autoSpaceDN w:val="0"/>
        <w:adjustRightInd w:val="0"/>
        <w:spacing w:line="240" w:lineRule="auto"/>
        <w:rPr>
          <w:rFonts w:ascii="Times New Roman" w:hAnsi="Times New Roman" w:eastAsia="Times New Roman" w:cs="Times New Roman"/>
          <w:sz w:val="24"/>
          <w:szCs w:val="24"/>
        </w:rPr>
      </w:pPr>
      <w:r>
        <w:rPr>
          <w:sz w:val="24"/>
          <w:szCs w:val="24"/>
          <w:lang w:eastAsia="en-IN"/>
        </w:rPr>
        <w:drawing>
          <wp:inline distT="0" distB="0" distL="0" distR="0">
            <wp:extent cx="990600" cy="982345"/>
            <wp:effectExtent l="0" t="0" r="0" b="8255"/>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umm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000110" cy="992175"/>
                    </a:xfrm>
                    <a:prstGeom prst="rect">
                      <a:avLst/>
                    </a:prstGeom>
                    <a:noFill/>
                    <a:ln>
                      <a:noFill/>
                    </a:ln>
                  </pic:spPr>
                </pic:pic>
              </a:graphicData>
            </a:graphic>
          </wp:inline>
        </w:drawing>
      </w:r>
    </w:p>
    <w:p w14:paraId="21E0B2C7">
      <w:pPr>
        <w:autoSpaceDE w:val="0"/>
        <w:autoSpaceDN w:val="0"/>
        <w:adjustRightInd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color w:val="E46C0A" w:themeColor="accent6" w:themeShade="BF"/>
          <w:sz w:val="24"/>
          <w:szCs w:val="24"/>
        </w:rPr>
        <w:t>Biography:</w:t>
      </w:r>
      <w:r>
        <w:rPr>
          <w:rFonts w:ascii="Times New Roman" w:hAnsi="Times New Roman" w:eastAsia="Times New Roman" w:cs="Times New Roman"/>
          <w:color w:val="E46C0A" w:themeColor="accent6" w:themeShade="BF"/>
          <w:sz w:val="24"/>
          <w:szCs w:val="24"/>
        </w:rPr>
        <w:t xml:space="preserve"> </w:t>
      </w:r>
      <w:r>
        <w:rPr>
          <w:rFonts w:ascii="Times New Roman" w:hAnsi="Times New Roman" w:eastAsia="Times New Roman" w:cs="Times New Roman"/>
          <w:sz w:val="24"/>
          <w:szCs w:val="24"/>
        </w:rPr>
        <w:t>(100 -200 words)</w:t>
      </w:r>
    </w:p>
    <w:p w14:paraId="7A6AA786">
      <w:pPr>
        <w:spacing w:after="0" w:line="240" w:lineRule="auto"/>
        <w:jc w:val="both"/>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Si-Jie Chen is a medical Doctor, currently studying nephrology at Southeast University School of Medicine. Her main research interest is the mechanism and treatment of vascular calcification regulated by exosomes in chronic kidney disease. She appears in the journal "cellproliferation, International Journal of Molecular Sciences" and other relevant papers. She has participated in a number of scientific studies on vascular calcification in chronic kidney disease and exosome-targeted drug therapy, and her research has found that endothelial mesenchymal transdifferentiation promotes the formation of osteoblast-like cells, leading to the occurrence and development of vascular calcification in chronic kidney disease. She is passionate about scientific research.</w:t>
      </w:r>
    </w:p>
    <w:p w14:paraId="1CA17111">
      <w:pPr>
        <w:spacing w:after="0" w:line="240" w:lineRule="auto"/>
        <w:rPr>
          <w:rFonts w:ascii="Times New Roman" w:hAnsi="Times New Roman" w:eastAsia="Calibri" w:cs="Times New Roman"/>
          <w:sz w:val="24"/>
          <w:szCs w:val="24"/>
          <w:lang w:val="en-US"/>
        </w:rPr>
      </w:pPr>
    </w:p>
    <w:p w14:paraId="412DD723">
      <w:pPr>
        <w:spacing w:after="0" w:line="240" w:lineRule="auto"/>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w:t>
      </w:r>
      <w:r>
        <w:rPr>
          <w:rFonts w:ascii="Times New Roman" w:hAnsi="Times New Roman" w:eastAsia="Calibri" w:cs="Times New Roman"/>
          <w:sz w:val="24"/>
          <w:szCs w:val="24"/>
          <w:lang w:val="en-US"/>
        </w:rPr>
        <w:tab/>
      </w:r>
      <w:r>
        <w:rPr>
          <w:rFonts w:ascii="Times New Roman" w:hAnsi="Times New Roman" w:eastAsia="Calibri" w:cs="Times New Roman"/>
          <w:b/>
          <w:sz w:val="24"/>
          <w:szCs w:val="24"/>
          <w:lang w:val="en-US"/>
        </w:rPr>
        <w:t>Full Name:</w:t>
      </w:r>
      <w:r>
        <w:rPr>
          <w:rFonts w:ascii="Times New Roman" w:hAnsi="Times New Roman" w:eastAsia="Calibri" w:cs="Times New Roman"/>
          <w:sz w:val="24"/>
          <w:szCs w:val="24"/>
          <w:lang w:val="en-US"/>
        </w:rPr>
        <w:t xml:space="preserve"> </w:t>
      </w:r>
      <w:r>
        <w:rPr>
          <w:rFonts w:hint="eastAsia" w:ascii="Times New Roman" w:hAnsi="Times New Roman" w:eastAsia="Calibri" w:cs="Times New Roman"/>
          <w:sz w:val="24"/>
          <w:szCs w:val="24"/>
          <w:lang w:val="en-US"/>
        </w:rPr>
        <w:t>Si-Jie Chen</w:t>
      </w:r>
      <w:r>
        <w:rPr>
          <w:rFonts w:ascii="Times New Roman" w:hAnsi="Times New Roman" w:eastAsia="Calibri" w:cs="Times New Roman"/>
          <w:sz w:val="24"/>
          <w:szCs w:val="24"/>
          <w:lang w:val="en-US"/>
        </w:rPr>
        <w:t xml:space="preserve"> </w:t>
      </w:r>
    </w:p>
    <w:p w14:paraId="7769F0D8">
      <w:pPr>
        <w:spacing w:after="0" w:line="240" w:lineRule="auto"/>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w:t>
      </w:r>
      <w:r>
        <w:rPr>
          <w:rFonts w:ascii="Times New Roman" w:hAnsi="Times New Roman" w:eastAsia="Calibri" w:cs="Times New Roman"/>
          <w:sz w:val="24"/>
          <w:szCs w:val="24"/>
          <w:lang w:val="en-US"/>
        </w:rPr>
        <w:tab/>
      </w:r>
      <w:r>
        <w:rPr>
          <w:rFonts w:ascii="Times New Roman" w:hAnsi="Times New Roman" w:eastAsia="Calibri" w:cs="Times New Roman"/>
          <w:b/>
          <w:sz w:val="24"/>
          <w:szCs w:val="24"/>
          <w:lang w:val="en-US"/>
        </w:rPr>
        <w:t>Personal Email:</w:t>
      </w:r>
      <w:r>
        <w:rPr>
          <w:rFonts w:ascii="Times New Roman" w:hAnsi="Times New Roman" w:eastAsia="Calibri" w:cs="Times New Roman"/>
          <w:sz w:val="24"/>
          <w:szCs w:val="24"/>
          <w:lang w:val="en-US"/>
        </w:rPr>
        <w:t xml:space="preserve"> </w:t>
      </w:r>
      <w:r>
        <w:rPr>
          <w:rFonts w:hint="eastAsia" w:ascii="Times New Roman" w:hAnsi="Times New Roman" w:eastAsia="宋体" w:cs="Times New Roman"/>
          <w:sz w:val="24"/>
          <w:szCs w:val="24"/>
          <w:lang w:val="en-US" w:eastAsia="zh-CN"/>
        </w:rPr>
        <w:t>chensjseu</w:t>
      </w:r>
      <w:r>
        <w:rPr>
          <w:rFonts w:ascii="Times New Roman" w:hAnsi="Times New Roman" w:eastAsia="Calibri" w:cs="Times New Roman"/>
          <w:sz w:val="24"/>
          <w:szCs w:val="24"/>
          <w:lang w:val="en-US"/>
        </w:rPr>
        <w:t>@</w:t>
      </w:r>
      <w:r>
        <w:rPr>
          <w:rFonts w:hint="eastAsia" w:ascii="Times New Roman" w:hAnsi="Times New Roman" w:eastAsia="宋体" w:cs="Times New Roman"/>
          <w:sz w:val="24"/>
          <w:szCs w:val="24"/>
          <w:lang w:val="en-US" w:eastAsia="zh-CN"/>
        </w:rPr>
        <w:t>seu</w:t>
      </w:r>
      <w:r>
        <w:rPr>
          <w:rFonts w:ascii="Times New Roman" w:hAnsi="Times New Roman" w:eastAsia="Calibri" w:cs="Times New Roman"/>
          <w:sz w:val="24"/>
          <w:szCs w:val="24"/>
          <w:lang w:val="en-US"/>
        </w:rPr>
        <w:t>.</w:t>
      </w:r>
      <w:r>
        <w:rPr>
          <w:rFonts w:hint="eastAsia" w:ascii="Times New Roman" w:hAnsi="Times New Roman" w:eastAsia="宋体" w:cs="Times New Roman"/>
          <w:sz w:val="24"/>
          <w:szCs w:val="24"/>
          <w:lang w:val="en-US" w:eastAsia="zh-CN"/>
        </w:rPr>
        <w:t>edu.</w:t>
      </w:r>
      <w:r>
        <w:rPr>
          <w:rFonts w:ascii="Times New Roman" w:hAnsi="Times New Roman" w:eastAsia="Calibri" w:cs="Times New Roman"/>
          <w:sz w:val="24"/>
          <w:szCs w:val="24"/>
          <w:lang w:val="en-US"/>
        </w:rPr>
        <w:t>com</w:t>
      </w:r>
    </w:p>
    <w:p w14:paraId="68F0DE06">
      <w:pPr>
        <w:spacing w:after="0" w:line="240" w:lineRule="auto"/>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w:t>
      </w:r>
      <w:r>
        <w:rPr>
          <w:rFonts w:ascii="Times New Roman" w:hAnsi="Times New Roman" w:eastAsia="Calibri" w:cs="Times New Roman"/>
          <w:sz w:val="24"/>
          <w:szCs w:val="24"/>
          <w:lang w:val="en-US"/>
        </w:rPr>
        <w:tab/>
      </w:r>
      <w:r>
        <w:rPr>
          <w:rFonts w:ascii="Times New Roman" w:hAnsi="Times New Roman" w:eastAsia="Calibri" w:cs="Times New Roman"/>
          <w:b/>
          <w:sz w:val="24"/>
          <w:szCs w:val="24"/>
          <w:lang w:val="en-US"/>
        </w:rPr>
        <w:t>Mobile Number:</w:t>
      </w:r>
      <w:r>
        <w:rPr>
          <w:rFonts w:ascii="Times New Roman" w:hAnsi="Times New Roman" w:eastAsia="Calibri" w:cs="Times New Roman"/>
          <w:sz w:val="24"/>
          <w:szCs w:val="24"/>
          <w:lang w:val="en-US"/>
        </w:rPr>
        <w:t xml:space="preserve"> </w:t>
      </w:r>
      <w:r>
        <w:rPr>
          <w:rFonts w:hint="eastAsia" w:ascii="Times New Roman" w:hAnsi="Times New Roman" w:eastAsia="Calibri" w:cs="Times New Roman"/>
          <w:sz w:val="24"/>
          <w:szCs w:val="24"/>
          <w:lang w:val="en-US"/>
        </w:rPr>
        <w:t>0086-25-83262422</w:t>
      </w:r>
    </w:p>
    <w:p w14:paraId="1FAF21DF">
      <w:pPr>
        <w:spacing w:after="0" w:line="240" w:lineRule="auto"/>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w:t>
      </w:r>
      <w:r>
        <w:rPr>
          <w:rFonts w:ascii="Times New Roman" w:hAnsi="Times New Roman" w:eastAsia="Calibri" w:cs="Times New Roman"/>
          <w:sz w:val="24"/>
          <w:szCs w:val="24"/>
          <w:lang w:val="en-US"/>
        </w:rPr>
        <w:tab/>
      </w:r>
      <w:r>
        <w:rPr>
          <w:rFonts w:ascii="Times New Roman" w:hAnsi="Times New Roman" w:eastAsia="Calibri" w:cs="Times New Roman"/>
          <w:b/>
          <w:sz w:val="24"/>
          <w:szCs w:val="24"/>
          <w:lang w:val="en-US"/>
        </w:rPr>
        <w:t>Category:</w:t>
      </w:r>
      <w:r>
        <w:rPr>
          <w:rFonts w:ascii="Times New Roman" w:hAnsi="Times New Roman" w:eastAsia="Calibri" w:cs="Times New Roman"/>
          <w:sz w:val="24"/>
          <w:szCs w:val="24"/>
          <w:lang w:val="en-US"/>
        </w:rPr>
        <w:t xml:space="preserve"> (Oral presentation)</w:t>
      </w:r>
    </w:p>
    <w:p w14:paraId="4CD5226D">
      <w:pPr>
        <w:spacing w:after="0" w:line="240" w:lineRule="auto"/>
        <w:rPr>
          <w:rFonts w:hint="eastAsia" w:ascii="Times New Roman" w:hAnsi="Times New Roman" w:eastAsia="宋体" w:cs="Times New Roman"/>
          <w:sz w:val="24"/>
          <w:szCs w:val="24"/>
          <w:lang w:val="en-US" w:eastAsia="zh-CN"/>
        </w:rPr>
      </w:pPr>
      <w:r>
        <w:rPr>
          <w:rFonts w:ascii="Times New Roman" w:hAnsi="Times New Roman" w:eastAsia="Calibri" w:cs="Times New Roman"/>
          <w:sz w:val="24"/>
          <w:szCs w:val="24"/>
          <w:lang w:val="en-US"/>
        </w:rPr>
        <w:t>•</w:t>
      </w:r>
      <w:r>
        <w:rPr>
          <w:rFonts w:ascii="Times New Roman" w:hAnsi="Times New Roman" w:eastAsia="Calibri" w:cs="Times New Roman"/>
          <w:sz w:val="24"/>
          <w:szCs w:val="24"/>
          <w:lang w:val="en-US"/>
        </w:rPr>
        <w:tab/>
      </w:r>
      <w:r>
        <w:rPr>
          <w:rFonts w:ascii="Times New Roman" w:hAnsi="Times New Roman" w:eastAsia="Calibri" w:cs="Times New Roman"/>
          <w:b/>
          <w:sz w:val="24"/>
          <w:szCs w:val="24"/>
          <w:lang w:val="en-US"/>
        </w:rPr>
        <w:t xml:space="preserve">Date of Birth: </w:t>
      </w:r>
      <w:r>
        <w:rPr>
          <w:rFonts w:ascii="Times New Roman" w:hAnsi="Times New Roman" w:eastAsia="Calibri" w:cs="Times New Roman"/>
          <w:sz w:val="24"/>
          <w:szCs w:val="24"/>
          <w:lang w:val="en-US"/>
        </w:rPr>
        <w:t>1</w:t>
      </w:r>
      <w:r>
        <w:rPr>
          <w:rFonts w:hint="eastAsia" w:ascii="Times New Roman" w:hAnsi="Times New Roman" w:eastAsia="宋体" w:cs="Times New Roman"/>
          <w:sz w:val="24"/>
          <w:szCs w:val="24"/>
          <w:lang w:val="en-US" w:eastAsia="zh-CN"/>
        </w:rPr>
        <w:t>2</w:t>
      </w:r>
      <w:r>
        <w:rPr>
          <w:rFonts w:ascii="Times New Roman" w:hAnsi="Times New Roman" w:eastAsia="Calibri" w:cs="Times New Roman"/>
          <w:sz w:val="24"/>
          <w:szCs w:val="24"/>
          <w:lang w:val="en-US"/>
        </w:rPr>
        <w:t>/199</w:t>
      </w:r>
      <w:r>
        <w:rPr>
          <w:rFonts w:hint="eastAsia" w:ascii="Times New Roman" w:hAnsi="Times New Roman" w:eastAsia="宋体" w:cs="Times New Roman"/>
          <w:sz w:val="24"/>
          <w:szCs w:val="24"/>
          <w:lang w:val="en-US" w:eastAsia="zh-CN"/>
        </w:rPr>
        <w:t>4</w:t>
      </w:r>
    </w:p>
    <w:p w14:paraId="76C209F1">
      <w:pPr>
        <w:spacing w:after="0" w:line="240" w:lineRule="auto"/>
        <w:rPr>
          <w:rFonts w:ascii="Times New Roman" w:hAnsi="Times New Roman" w:eastAsia="Calibri" w:cs="Times New Roman"/>
          <w:sz w:val="24"/>
          <w:szCs w:val="24"/>
          <w:lang w:val="en-US"/>
        </w:rPr>
      </w:pPr>
      <w:r>
        <w:rPr>
          <w:rFonts w:ascii="Times New Roman" w:hAnsi="Times New Roman" w:eastAsia="Calibri" w:cs="Times New Roman"/>
          <w:sz w:val="24"/>
          <w:szCs w:val="24"/>
          <w:lang w:val="en-US"/>
        </w:rPr>
        <w:t>•</w:t>
      </w:r>
      <w:r>
        <w:rPr>
          <w:rFonts w:ascii="Times New Roman" w:hAnsi="Times New Roman" w:eastAsia="Calibri" w:cs="Times New Roman"/>
          <w:sz w:val="24"/>
          <w:szCs w:val="24"/>
          <w:lang w:val="en-US"/>
        </w:rPr>
        <w:tab/>
      </w:r>
      <w:r>
        <w:rPr>
          <w:rFonts w:ascii="Times New Roman" w:hAnsi="Times New Roman" w:eastAsia="Calibri" w:cs="Times New Roman"/>
          <w:b/>
          <w:sz w:val="24"/>
          <w:szCs w:val="24"/>
          <w:lang w:val="en-US"/>
        </w:rPr>
        <w:t>Postal Address:</w:t>
      </w:r>
      <w:r>
        <w:rPr>
          <w:rFonts w:ascii="Times New Roman" w:hAnsi="Times New Roman" w:eastAsia="Calibri" w:cs="Times New Roman"/>
          <w:sz w:val="24"/>
          <w:szCs w:val="24"/>
          <w:lang w:val="en-US"/>
        </w:rPr>
        <w:t xml:space="preserve"> </w:t>
      </w:r>
      <w:r>
        <w:rPr>
          <w:rFonts w:hint="eastAsia" w:ascii="Times New Roman" w:hAnsi="Times New Roman" w:eastAsia="Calibri" w:cs="Times New Roman"/>
          <w:sz w:val="24"/>
          <w:szCs w:val="24"/>
          <w:lang w:val="en-US"/>
        </w:rPr>
        <w:t xml:space="preserve">Zhongda Hospital, School of Medicine, Southeast University, No. 87, Ding Jia Qiao Road, Nanjing 210009, China. </w:t>
      </w:r>
    </w:p>
    <w:p w14:paraId="607B685C">
      <w:pPr>
        <w:spacing w:after="0" w:line="240" w:lineRule="auto"/>
        <w:rPr>
          <w:rFonts w:ascii="Times New Roman" w:hAnsi="Times New Roman" w:eastAsia="Calibri" w:cs="Times New Roman"/>
          <w:sz w:val="24"/>
          <w:szCs w:val="24"/>
          <w:lang w:val="en-US"/>
        </w:rPr>
      </w:pPr>
    </w:p>
    <w:p w14:paraId="1ADE0F14">
      <w:pPr>
        <w:spacing w:after="0" w:line="240" w:lineRule="auto"/>
        <w:jc w:val="center"/>
        <w:rPr>
          <w:rStyle w:val="5"/>
          <w:rFonts w:ascii="Times New Roman" w:hAnsi="Times New Roman" w:eastAsia="Calibri" w:cs="Times New Roman"/>
          <w:sz w:val="24"/>
          <w:szCs w:val="24"/>
          <w:lang w:val="en-US"/>
        </w:rPr>
      </w:pPr>
      <w:r>
        <w:rPr>
          <w:rFonts w:ascii="Times New Roman" w:hAnsi="Times New Roman" w:eastAsia="Calibri" w:cs="Times New Roman"/>
          <w:b/>
          <w:sz w:val="24"/>
          <w:szCs w:val="24"/>
          <w:lang w:val="en-US"/>
        </w:rPr>
        <w:t>Email:</w:t>
      </w:r>
      <w:r>
        <w:rPr>
          <w:rFonts w:ascii="Times New Roman" w:hAnsi="Times New Roman" w:eastAsia="Calibri" w:cs="Times New Roman"/>
          <w:sz w:val="24"/>
          <w:szCs w:val="24"/>
          <w:lang w:val="en-US"/>
        </w:rPr>
        <w:t xml:space="preserve"> </w:t>
      </w:r>
      <w:r>
        <w:rPr>
          <w:rStyle w:val="5"/>
          <w:rFonts w:hint="eastAsia" w:ascii="Times New Roman" w:hAnsi="Times New Roman" w:eastAsia="Calibri" w:cs="Times New Roman"/>
          <w:sz w:val="24"/>
          <w:szCs w:val="24"/>
          <w:lang w:val="en-US" w:eastAsia="zh-CN"/>
        </w:rPr>
        <w:t>chensjseu</w:t>
      </w:r>
      <w:r>
        <w:rPr>
          <w:rStyle w:val="5"/>
          <w:rFonts w:ascii="Times New Roman" w:hAnsi="Times New Roman" w:eastAsia="Calibri" w:cs="Times New Roman"/>
          <w:sz w:val="24"/>
          <w:szCs w:val="24"/>
          <w:lang w:val="en-US"/>
        </w:rPr>
        <w:t>@</w:t>
      </w:r>
      <w:r>
        <w:rPr>
          <w:rStyle w:val="5"/>
          <w:rFonts w:hint="eastAsia" w:ascii="Times New Roman" w:hAnsi="Times New Roman" w:eastAsia="Calibri" w:cs="Times New Roman"/>
          <w:sz w:val="24"/>
          <w:szCs w:val="24"/>
          <w:lang w:val="en-US" w:eastAsia="zh-CN"/>
        </w:rPr>
        <w:t>seu</w:t>
      </w:r>
      <w:r>
        <w:rPr>
          <w:rStyle w:val="5"/>
          <w:rFonts w:ascii="Times New Roman" w:hAnsi="Times New Roman" w:eastAsia="Calibri" w:cs="Times New Roman"/>
          <w:sz w:val="24"/>
          <w:szCs w:val="24"/>
          <w:lang w:val="en-US"/>
        </w:rPr>
        <w:t>.</w:t>
      </w:r>
      <w:r>
        <w:rPr>
          <w:rStyle w:val="5"/>
          <w:rFonts w:hint="eastAsia" w:ascii="Times New Roman" w:hAnsi="Times New Roman" w:eastAsia="Calibri" w:cs="Times New Roman"/>
          <w:sz w:val="24"/>
          <w:szCs w:val="24"/>
          <w:lang w:val="en-US" w:eastAsia="zh-CN"/>
        </w:rPr>
        <w:t>edu.</w:t>
      </w:r>
      <w:r>
        <w:rPr>
          <w:rStyle w:val="5"/>
          <w:rFonts w:ascii="Times New Roman" w:hAnsi="Times New Roman" w:eastAsia="Calibri" w:cs="Times New Roman"/>
          <w:sz w:val="24"/>
          <w:szCs w:val="24"/>
          <w:lang w:val="en-US"/>
        </w:rPr>
        <w:t>com</w:t>
      </w:r>
    </w:p>
    <w:p w14:paraId="1D834DAA">
      <w:pPr>
        <w:spacing w:after="0" w:line="240" w:lineRule="auto"/>
        <w:jc w:val="center"/>
        <w:rPr>
          <w:rFonts w:ascii="Times New Roman" w:hAnsi="Times New Roman" w:eastAsia="Calibri" w:cs="Times New Roman"/>
          <w:sz w:val="24"/>
          <w:szCs w:val="24"/>
          <w:lang w:val="en-US"/>
        </w:rPr>
      </w:pPr>
    </w:p>
    <w:sectPr>
      <w:type w:val="continuous"/>
      <w:pgSz w:w="11906" w:h="16838"/>
      <w:pgMar w:top="1440" w:right="991" w:bottom="1440" w:left="993"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Tw Cen MT">
    <w:altName w:val="Segoe Print"/>
    <w:panose1 w:val="020B0602020104020603"/>
    <w:charset w:val="00"/>
    <w:family w:val="swiss"/>
    <w:pitch w:val="default"/>
    <w:sig w:usb0="00000000" w:usb1="00000000" w:usb2="00000000" w:usb3="00000000" w:csb0="00000003"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04313AE"/>
    <w:multiLevelType w:val="multilevel"/>
    <w:tmpl w:val="704313AE"/>
    <w:lvl w:ilvl="0" w:tentative="0">
      <w:start w:val="1"/>
      <w:numFmt w:val="decimal"/>
      <w:lvlText w:val="%1)"/>
      <w:lvlJc w:val="left"/>
      <w:pPr>
        <w:ind w:left="400" w:hanging="360"/>
      </w:pPr>
      <w:rPr>
        <w:rFonts w:hint="default" w:ascii="Calibri" w:hAnsi="Calibri" w:eastAsia="Tw Cen MT" w:cs="Tw Cen MT"/>
      </w:rPr>
    </w:lvl>
    <w:lvl w:ilvl="1" w:tentative="0">
      <w:start w:val="1"/>
      <w:numFmt w:val="lowerLetter"/>
      <w:lvlText w:val="%2."/>
      <w:lvlJc w:val="left"/>
      <w:pPr>
        <w:ind w:left="1120" w:hanging="360"/>
      </w:pPr>
    </w:lvl>
    <w:lvl w:ilvl="2" w:tentative="0">
      <w:start w:val="1"/>
      <w:numFmt w:val="lowerRoman"/>
      <w:lvlText w:val="%3."/>
      <w:lvlJc w:val="right"/>
      <w:pPr>
        <w:ind w:left="1840" w:hanging="180"/>
      </w:pPr>
    </w:lvl>
    <w:lvl w:ilvl="3" w:tentative="0">
      <w:start w:val="1"/>
      <w:numFmt w:val="decimal"/>
      <w:lvlText w:val="%4."/>
      <w:lvlJc w:val="left"/>
      <w:pPr>
        <w:ind w:left="2560" w:hanging="360"/>
      </w:pPr>
    </w:lvl>
    <w:lvl w:ilvl="4" w:tentative="0">
      <w:start w:val="1"/>
      <w:numFmt w:val="lowerLetter"/>
      <w:lvlText w:val="%5."/>
      <w:lvlJc w:val="left"/>
      <w:pPr>
        <w:ind w:left="3280" w:hanging="360"/>
      </w:pPr>
    </w:lvl>
    <w:lvl w:ilvl="5" w:tentative="0">
      <w:start w:val="1"/>
      <w:numFmt w:val="lowerRoman"/>
      <w:lvlText w:val="%6."/>
      <w:lvlJc w:val="right"/>
      <w:pPr>
        <w:ind w:left="4000" w:hanging="180"/>
      </w:pPr>
    </w:lvl>
    <w:lvl w:ilvl="6" w:tentative="0">
      <w:start w:val="1"/>
      <w:numFmt w:val="decimal"/>
      <w:lvlText w:val="%7."/>
      <w:lvlJc w:val="left"/>
      <w:pPr>
        <w:ind w:left="4720" w:hanging="360"/>
      </w:pPr>
    </w:lvl>
    <w:lvl w:ilvl="7" w:tentative="0">
      <w:start w:val="1"/>
      <w:numFmt w:val="lowerLetter"/>
      <w:lvlText w:val="%8."/>
      <w:lvlJc w:val="left"/>
      <w:pPr>
        <w:ind w:left="5440" w:hanging="360"/>
      </w:pPr>
    </w:lvl>
    <w:lvl w:ilvl="8" w:tentative="0">
      <w:start w:val="1"/>
      <w:numFmt w:val="lowerRoman"/>
      <w:lvlText w:val="%9."/>
      <w:lvlJc w:val="right"/>
      <w:pPr>
        <w:ind w:left="61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c2ZGZiNzZiNDVlOGViOWVmM2JhOTY0NGJkNjUyYzgifQ=="/>
  </w:docVars>
  <w:rsids>
    <w:rsidRoot w:val="00676597"/>
    <w:rsid w:val="00155B14"/>
    <w:rsid w:val="001753E4"/>
    <w:rsid w:val="00194BF9"/>
    <w:rsid w:val="00375B3D"/>
    <w:rsid w:val="0046369B"/>
    <w:rsid w:val="00607A26"/>
    <w:rsid w:val="00676597"/>
    <w:rsid w:val="006B3217"/>
    <w:rsid w:val="00974F83"/>
    <w:rsid w:val="009C72EB"/>
    <w:rsid w:val="00A2285E"/>
    <w:rsid w:val="00AF2CF0"/>
    <w:rsid w:val="00DF560E"/>
    <w:rsid w:val="00FA08F0"/>
    <w:rsid w:val="066A1827"/>
    <w:rsid w:val="27B031A8"/>
    <w:rsid w:val="31F01C97"/>
    <w:rsid w:val="3A721C5A"/>
    <w:rsid w:val="3F9D482B"/>
    <w:rsid w:val="459D1135"/>
    <w:rsid w:val="573866FE"/>
    <w:rsid w:val="5F371542"/>
    <w:rsid w:val="7C301454"/>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IN" w:eastAsia="en-US"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7"/>
    <w:semiHidden/>
    <w:unhideWhenUsed/>
    <w:qFormat/>
    <w:uiPriority w:val="99"/>
    <w:pPr>
      <w:spacing w:after="0" w:line="240" w:lineRule="auto"/>
    </w:pPr>
    <w:rPr>
      <w:rFonts w:ascii="Tahoma" w:hAnsi="Tahoma" w:cs="Tahoma"/>
      <w:sz w:val="16"/>
      <w:szCs w:val="16"/>
    </w:rPr>
  </w:style>
  <w:style w:type="character" w:styleId="5">
    <w:name w:val="Hyperlink"/>
    <w:basedOn w:val="4"/>
    <w:unhideWhenUsed/>
    <w:qFormat/>
    <w:uiPriority w:val="99"/>
    <w:rPr>
      <w:color w:val="0000FF" w:themeColor="hyperlink"/>
      <w:u w:val="single"/>
      <w14:textFill>
        <w14:solidFill>
          <w14:schemeClr w14:val="hlink"/>
        </w14:solidFill>
      </w14:textFill>
    </w:rPr>
  </w:style>
  <w:style w:type="paragraph" w:styleId="6">
    <w:name w:val="List Paragraph"/>
    <w:basedOn w:val="1"/>
    <w:qFormat/>
    <w:uiPriority w:val="1"/>
    <w:pPr>
      <w:widowControl w:val="0"/>
      <w:spacing w:before="90" w:after="0" w:line="200" w:lineRule="exact"/>
      <w:ind w:left="383" w:hanging="283"/>
      <w:jc w:val="both"/>
    </w:pPr>
    <w:rPr>
      <w:rFonts w:ascii="Calibri" w:hAnsi="Calibri" w:eastAsia="Calibri" w:cs="Calibri"/>
      <w:lang w:val="en-US"/>
    </w:rPr>
  </w:style>
  <w:style w:type="character" w:customStyle="1" w:styleId="7">
    <w:name w:val="Balloon Text Char"/>
    <w:basedOn w:val="4"/>
    <w:link w:val="2"/>
    <w:semiHidden/>
    <w:qFormat/>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435</Words>
  <Characters>2748</Characters>
  <Lines>28</Lines>
  <Paragraphs>8</Paragraphs>
  <TotalTime>2</TotalTime>
  <ScaleCrop>false</ScaleCrop>
  <LinksUpToDate>false</LinksUpToDate>
  <CharactersWithSpaces>3168</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2019-09-09T09:11:00Z</dcterms:created>
  <dc:creator>Medical Nanotechnology 2016</dc:creator>
  <cp:lastModifiedBy>sisi</cp:lastModifiedBy>
  <dcterms:modified xsi:type="dcterms:W3CDTF">2024-10-09T07:24:02Z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C030EA33407E4FF68102ADD98B10CBEA_13</vt:lpwstr>
  </property>
</Properties>
</file>