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Associations between triglyceride-glucose index and risk of end-stage kidney disease and all-cause mortality in patients with diabetic kidney disease</w:t>
      </w:r>
    </w:p>
    <w:p>
      <w:pPr>
        <w:spacing w:line="360" w:lineRule="auto"/>
        <w:jc w:val="center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Yulin Hu</w:t>
      </w:r>
    </w:p>
    <w:p>
      <w:pPr>
        <w:spacing w:line="360" w:lineRule="auto"/>
        <w:jc w:val="center"/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t>THE AFFILIATED YONGCHUAN HOSPITAL OF CHONGQING MEDICAL UNIVERSITY</w:t>
      </w:r>
      <w:bookmarkStart w:id="0" w:name="_GoBack"/>
      <w:bookmarkEnd w:id="0"/>
    </w:p>
    <w:p>
      <w:pPr>
        <w:spacing w:line="360" w:lineRule="auto"/>
        <w:jc w:val="both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BACKGROUND</w:t>
      </w:r>
    </w:p>
    <w:p>
      <w:pPr>
        <w:spacing w:line="360" w:lineRule="auto"/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The triglyceride-glucose index (TyG) has been suggested as a novel surrogate biomarker for insulin resistance and predicts adverse clinical outcomes in various chronic conditions. However, the association between TyG and risks of end-stage kidney diseases (ESKD), a common microvascular complication of diabetes, remains largely unknown. </w:t>
      </w:r>
    </w:p>
    <w:p>
      <w:pPr>
        <w:spacing w:line="360" w:lineRule="auto"/>
        <w:jc w:val="both"/>
        <w:rPr>
          <w:rFonts w:hint="default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METHODS</w:t>
      </w:r>
    </w:p>
    <w:p>
      <w:pPr>
        <w:spacing w:line="360" w:lineRule="auto"/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Data from a total of 279 patients with type 2 diabetic kidney disease with an estimated glomerular filtration rate (eGFR) &gt; 15ml/min/1.73m</w:t>
      </w:r>
      <w:r>
        <w:rPr>
          <w:rFonts w:hint="eastAsia"/>
          <w:color w:val="auto"/>
          <w:vertAlign w:val="superscript"/>
          <w:lang w:val="en-US" w:eastAsia="zh-CN"/>
        </w:rPr>
        <w:t>2</w:t>
      </w:r>
      <w:r>
        <w:rPr>
          <w:rFonts w:hint="eastAsia"/>
          <w:color w:val="auto"/>
          <w:lang w:val="en-US" w:eastAsia="zh-CN"/>
        </w:rPr>
        <w:t xml:space="preserve"> seeking medical attention between June 1, 2015 to October 31, 2022 were retrospectively collected and analyzed. ESKD were defined as an eGFR &lt; 15ml/min/1.73m</w:t>
      </w:r>
      <w:r>
        <w:rPr>
          <w:rFonts w:hint="eastAsia"/>
          <w:color w:val="auto"/>
          <w:vertAlign w:val="superscript"/>
          <w:lang w:val="en-US" w:eastAsia="zh-CN"/>
        </w:rPr>
        <w:t>2</w:t>
      </w:r>
      <w:r>
        <w:rPr>
          <w:rFonts w:hint="eastAsia"/>
          <w:color w:val="auto"/>
          <w:lang w:val="en-US" w:eastAsia="zh-CN"/>
        </w:rPr>
        <w:t xml:space="preserve"> or dialysis or kidney transplantation. All-cause mortality was defined as death from any causes. The multivariate Cox proportional hazard regression model was applied to explore the predictive capacity for ESKD and all-cause mortality. </w:t>
      </w:r>
    </w:p>
    <w:p>
      <w:pPr>
        <w:spacing w:line="360" w:lineRule="auto"/>
        <w:jc w:val="both"/>
        <w:rPr>
          <w:rFonts w:hint="default"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RESULTS</w:t>
      </w:r>
      <w:r>
        <w:rPr>
          <w:rFonts w:hint="eastAsia"/>
          <w:color w:val="auto"/>
          <w:lang w:val="en-US" w:eastAsia="zh-CN"/>
        </w:rPr>
        <w:br w:type="textWrapping"/>
      </w:r>
      <w:r>
        <w:rPr>
          <w:rFonts w:hint="eastAsia"/>
          <w:color w:val="auto"/>
          <w:lang w:val="en-US" w:eastAsia="zh-CN"/>
        </w:rPr>
        <w:t xml:space="preserve">The receiver-operating characteristic curve suggested that the optimal cohort-specific cut-off points for TyG is 9.04. During a median of 54 (interquartile range 41-70) months follow-up, a total of 142 patients reached ESKD and and 39 patients died. The cumulative incidence of ESKD and all-cause mortality was significantly higher in patients with a TyG &gt; 9.04 than those with a TyG </w:t>
      </w:r>
      <w:r>
        <w:rPr>
          <w:rFonts w:hint="default" w:ascii="Calibri" w:hAnsi="Calibri" w:cs="Calibri"/>
          <w:color w:val="auto"/>
          <w:lang w:val="en-US" w:eastAsia="zh-CN"/>
        </w:rPr>
        <w:t>≤</w:t>
      </w:r>
      <w:r>
        <w:rPr>
          <w:rFonts w:hint="eastAsia"/>
          <w:color w:val="auto"/>
          <w:lang w:val="en-US" w:eastAsia="zh-CN"/>
        </w:rPr>
        <w:t xml:space="preserve"> 9.04 (P=0.007). After adjusting for clinical and laboratory test parameters, high TyG &gt; 9.04 is still associated with a greater risk of ESKD (HR=4.02, 95% CI 2.04-6.53, P &lt; 0.001) and all-cause mortality (HR=3.22, 95% CI 1.94-4.99, P &lt; 0.001). Restricted cubic spline analyses indicated an S-shaped relationship between the TyG index and risk of ESKD or all-cause mortality (P for nonlinearity &lt; 0.001). Subgroup analysis showed that patients with stage 1 and stage 2 chronic kidney disease showed more pronounced associations between TyG and risk of ESKD.</w:t>
      </w:r>
    </w:p>
    <w:p>
      <w:pPr>
        <w:spacing w:line="360" w:lineRule="auto"/>
        <w:jc w:val="both"/>
        <w:rPr>
          <w:rFonts w:hint="eastAsia"/>
          <w:b/>
          <w:bCs/>
          <w:color w:val="auto"/>
          <w:lang w:val="en-US" w:eastAsia="zh-CN"/>
        </w:rPr>
      </w:pPr>
      <w:r>
        <w:rPr>
          <w:rFonts w:hint="eastAsia"/>
          <w:b/>
          <w:bCs/>
          <w:color w:val="auto"/>
          <w:lang w:val="en-US" w:eastAsia="zh-CN"/>
        </w:rPr>
        <w:t>CONCLUSION</w:t>
      </w:r>
    </w:p>
    <w:p>
      <w:pPr>
        <w:spacing w:line="360" w:lineRule="auto"/>
        <w:jc w:val="both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An elevated TyG is associated with an increased risk of ESKD and all-cause mortality in type 2 diabetic kidney disease, especially in those with relatively early chronic kidney stages.</w:t>
      </w:r>
    </w:p>
    <w:p>
      <w:pPr>
        <w:rPr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yMGY5ZDA4ZjJmZDBmZDRjZTcxMzgwY2I4YzY4ZTAifQ=="/>
  </w:docVars>
  <w:rsids>
    <w:rsidRoot w:val="427822FA"/>
    <w:rsid w:val="1C917379"/>
    <w:rsid w:val="427822FA"/>
    <w:rsid w:val="79DB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2023-12-18T04:15:00Z</dcterms:created>
  <dc:creator>X_xym丶</dc:creator>
  <cp:lastModifiedBy>bird</cp:lastModifiedBy>
  <dcterms:modified xsi:type="dcterms:W3CDTF">2024-06-18T08:34:35Z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8207B9B85ECB4DDCBACD782506724F19_11</vt:lpwstr>
  </property>
</Properties>
</file>