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Continuous renal replacement therapy for inflammation-related anemia, iron metabolism and short-term outcomes in patients with critical acute kidney injury: A single-center observational study</w:t>
      </w:r>
    </w:p>
    <w:p>
      <w:pPr>
        <w:spacing w:line="360" w:lineRule="auto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eastAsia" w:ascii="Arial" w:hAnsi="Arial" w:cs="Arial"/>
          <w:sz w:val="22"/>
          <w:szCs w:val="22"/>
          <w:lang w:val="en-US" w:eastAsia="zh-CN"/>
        </w:rPr>
        <w:t>Xia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Jilin</w:t>
      </w:r>
    </w:p>
    <w:p>
      <w:pPr>
        <w:spacing w:line="360" w:lineRule="auto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 xml:space="preserve">People’s Hospital of Changshou Chongqing, China </w:t>
      </w:r>
      <w:bookmarkStart w:id="0" w:name="_GoBack"/>
      <w:bookmarkEnd w:id="0"/>
    </w:p>
    <w:p>
      <w:pPr>
        <w:spacing w:line="360" w:lineRule="auto"/>
        <w:rPr>
          <w:rFonts w:hint="eastAsia" w:ascii="Arial" w:hAnsi="Arial" w:cs="Arial"/>
          <w:sz w:val="22"/>
          <w:szCs w:val="22"/>
          <w:lang w:val="en-US" w:eastAsia="zh-CN"/>
        </w:rPr>
      </w:pP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>Background</w:t>
      </w:r>
      <w:r>
        <w:rPr>
          <w:rFonts w:hint="eastAsia" w:ascii="Arial" w:hAnsi="Arial" w:cs="Arial"/>
          <w:sz w:val="22"/>
          <w:szCs w:val="22"/>
          <w:lang w:val="en-US" w:eastAsia="zh-CN"/>
        </w:rPr>
        <w:t>: Continuous renal replacement therapy (CRRT) is frequently used for patients with critical acute kidney injury. However, its effect on inflammation-related anemia, iron metabolism and short-term prognosis remains largely unknown.</w:t>
      </w:r>
    </w:p>
    <w:p>
      <w:pPr>
        <w:spacing w:line="360" w:lineRule="auto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>Methods</w:t>
      </w:r>
      <w:r>
        <w:rPr>
          <w:rFonts w:hint="eastAsia" w:ascii="Arial" w:hAnsi="Arial" w:cs="Arial"/>
          <w:sz w:val="22"/>
          <w:szCs w:val="22"/>
          <w:lang w:val="en-US" w:eastAsia="zh-CN"/>
        </w:rPr>
        <w:t>: In this single-center retrospective observational study, data from a total of 193 cases of critical acute kidney injury were collected and analyzed. Comparisons were made between those treated with CRRT (CRRT group) and without CRRT (non-CRRT group) at day 3, 7 and 14 after intensive care unit admission. Iron metabolism biomarkers assessed included iron, ferritin, transferrin saturation rate, and soluble transferrin receptor. Short-term prognosis is defined as 28-dya mortality.</w:t>
      </w:r>
    </w:p>
    <w:p>
      <w:pPr>
        <w:spacing w:line="360" w:lineRule="auto"/>
        <w:rPr>
          <w:rFonts w:hint="eastAsia" w:ascii="Arial" w:hAnsi="Arial" w:cs="Arial"/>
          <w:sz w:val="22"/>
          <w:szCs w:val="22"/>
          <w:lang w:val="en-US" w:eastAsia="zh-CN"/>
        </w:rPr>
      </w:pP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>Results</w:t>
      </w:r>
      <w:r>
        <w:rPr>
          <w:rFonts w:hint="eastAsia" w:ascii="Arial" w:hAnsi="Arial" w:cs="Arial"/>
          <w:sz w:val="22"/>
          <w:szCs w:val="22"/>
          <w:lang w:val="en-US" w:eastAsia="zh-CN"/>
        </w:rPr>
        <w:t>: Of the 193 cases included, 112 patients (58.03%) received CRRT treatment. The most common causes for acute kidney injury in this study were sepsis (69.43%), followed by ischemia reperfusion injury (18.65%) and nephrotoxicity (6.22%). Compared with the non-CRRT group, patients in the CRRT group were associated with significantly higher sequential organ failure assessment score (P&lt;0.001). Hemoglobin levels between the 2 groups were statistically insignificant at all time points. However, levels of iron, ferritin and transferrin saturation rate in the CRRT group were significantly higher than those in the non-CRRT group at day 14, despite the soluble transferrin receptor level showed no statistical significance. The 28-day mortality rate between the CRRT and non-CRRT group were similar (39.29% vs , 24.69%, P=0.26).</w:t>
      </w:r>
    </w:p>
    <w:p>
      <w:pPr>
        <w:spacing w:line="360" w:lineRule="auto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>Conclusion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: CRRT treatment in patients with critical acute kidney injury improves iron metabolism but has limited effect on inflammation-related anemia and short-term mortality. 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yMGY5ZDA4ZjJmZDBmZDRjZTcxMzgwY2I4YzY4ZTAifQ=="/>
  </w:docVars>
  <w:rsids>
    <w:rsidRoot w:val="46135796"/>
    <w:rsid w:val="34082A19"/>
    <w:rsid w:val="4613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2024-03-22T01:54:00Z</dcterms:created>
  <dc:creator>X_xym丶</dc:creator>
  <cp:lastModifiedBy>bird</cp:lastModifiedBy>
  <dcterms:modified xsi:type="dcterms:W3CDTF">2024-04-20T08:47:50Z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C2D8024D3B624014B7691A7308F55A70_11</vt:lpwstr>
  </property>
</Properties>
</file>