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3E37" w:rsidRDefault="001E13AC" w:rsidP="00494130">
      <w:pPr>
        <w:pStyle w:val="Heading1"/>
        <w:spacing w:before="170"/>
        <w:ind w:left="0"/>
      </w:pPr>
      <w:r>
        <w:rPr>
          <w:color w:val="337AB7"/>
        </w:rPr>
        <w:t>Association Between Ureteric Stent Dwell Time and Urinary Tract Infections</w:t>
      </w:r>
    </w:p>
    <w:p w:rsidR="001E13AC" w:rsidRDefault="001E13AC" w:rsidP="005973B9">
      <w:pPr>
        <w:pStyle w:val="BodyText"/>
        <w:spacing w:before="73" w:line="198" w:lineRule="exact"/>
        <w:ind w:left="100" w:right="5987"/>
        <w:rPr>
          <w:rFonts w:ascii="Arial"/>
        </w:rPr>
      </w:pPr>
      <w:r>
        <w:rPr>
          <w:rFonts w:ascii="Arial"/>
        </w:rPr>
        <w:t>Bishoy Hanna</w:t>
      </w:r>
      <w:r w:rsidR="005973B9">
        <w:rPr>
          <w:rFonts w:ascii="Arial"/>
        </w:rPr>
        <w:t xml:space="preserve">, </w:t>
      </w:r>
      <w:r>
        <w:rPr>
          <w:rFonts w:ascii="Arial"/>
        </w:rPr>
        <w:t>BMedSci</w:t>
      </w:r>
      <w:r w:rsidR="005973B9">
        <w:rPr>
          <w:rFonts w:ascii="Arial"/>
        </w:rPr>
        <w:t xml:space="preserve"> </w:t>
      </w:r>
      <w:r>
        <w:rPr>
          <w:rFonts w:ascii="Arial"/>
        </w:rPr>
        <w:t>MD</w:t>
      </w:r>
      <w:r w:rsidR="005973B9">
        <w:rPr>
          <w:rFonts w:ascii="Arial"/>
        </w:rPr>
        <w:t xml:space="preserve">, </w:t>
      </w:r>
      <w:r>
        <w:rPr>
          <w:rFonts w:ascii="Arial"/>
        </w:rPr>
        <w:t>Nepean Urology Research Group</w:t>
      </w:r>
      <w:r w:rsidR="005973B9">
        <w:rPr>
          <w:rFonts w:ascii="Arial"/>
        </w:rPr>
        <w:t xml:space="preserve">, </w:t>
      </w:r>
      <w:r>
        <w:rPr>
          <w:rFonts w:ascii="Arial"/>
        </w:rPr>
        <w:t xml:space="preserve">Australia </w:t>
      </w:r>
    </w:p>
    <w:p w:rsidR="005973B9" w:rsidRDefault="001E13AC" w:rsidP="005973B9">
      <w:pPr>
        <w:pStyle w:val="BodyText"/>
        <w:spacing w:before="73" w:line="198" w:lineRule="exact"/>
        <w:ind w:left="100" w:right="5987"/>
        <w:rPr>
          <w:rFonts w:ascii="Arial"/>
        </w:rPr>
      </w:pPr>
      <w:r>
        <w:rPr>
          <w:rFonts w:ascii="Arial"/>
        </w:rPr>
        <w:t xml:space="preserve">Kevin </w:t>
      </w:r>
      <w:proofErr w:type="spellStart"/>
      <w:r>
        <w:rPr>
          <w:rFonts w:ascii="Arial"/>
        </w:rPr>
        <w:t>Zhuo</w:t>
      </w:r>
      <w:proofErr w:type="spellEnd"/>
      <w:r>
        <w:rPr>
          <w:rFonts w:ascii="Arial"/>
        </w:rPr>
        <w:t xml:space="preserve">, </w:t>
      </w:r>
      <w:proofErr w:type="spellStart"/>
      <w:r>
        <w:rPr>
          <w:rFonts w:ascii="Arial"/>
        </w:rPr>
        <w:t>BMed</w:t>
      </w:r>
      <w:proofErr w:type="spellEnd"/>
      <w:r>
        <w:rPr>
          <w:rFonts w:ascii="Arial"/>
        </w:rPr>
        <w:t xml:space="preserve"> (</w:t>
      </w:r>
      <w:proofErr w:type="spellStart"/>
      <w:r>
        <w:rPr>
          <w:rFonts w:ascii="Arial"/>
        </w:rPr>
        <w:t>Dist</w:t>
      </w:r>
      <w:proofErr w:type="spellEnd"/>
      <w:r>
        <w:rPr>
          <w:rFonts w:ascii="Arial"/>
        </w:rPr>
        <w:t>) MD, Department of Urology, Royal North Shore Hospital, Australia</w:t>
      </w:r>
    </w:p>
    <w:p w:rsidR="001E13AC" w:rsidRDefault="001E13AC" w:rsidP="005973B9">
      <w:pPr>
        <w:pStyle w:val="BodyText"/>
        <w:spacing w:before="73" w:line="198" w:lineRule="exact"/>
        <w:ind w:left="100" w:right="5987"/>
        <w:rPr>
          <w:rFonts w:ascii="Arial"/>
        </w:rPr>
      </w:pPr>
      <w:r>
        <w:rPr>
          <w:rFonts w:ascii="Arial"/>
        </w:rPr>
        <w:t>Amanda Chung, MBBS FRACS (</w:t>
      </w:r>
      <w:proofErr w:type="spellStart"/>
      <w:r>
        <w:rPr>
          <w:rFonts w:ascii="Arial"/>
        </w:rPr>
        <w:t>Urol</w:t>
      </w:r>
      <w:proofErr w:type="spellEnd"/>
      <w:r>
        <w:rPr>
          <w:rFonts w:ascii="Arial"/>
        </w:rPr>
        <w:t>), Department of Urology, Royal North Shore Hospital, Australia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1E13AC" w:rsidRPr="001E13AC" w:rsidRDefault="001E13AC" w:rsidP="001E13AC">
      <w:pPr>
        <w:pStyle w:val="Heading3"/>
        <w:spacing w:before="74"/>
        <w:rPr>
          <w:rFonts w:asciiTheme="minorHAnsi" w:hAnsiTheme="minorHAnsi"/>
          <w:b w:val="0"/>
          <w:bCs w:val="0"/>
          <w:sz w:val="18"/>
          <w:szCs w:val="18"/>
          <w:lang w:val="en-AU"/>
        </w:rPr>
      </w:pPr>
      <w:r w:rsidRPr="001E13AC">
        <w:rPr>
          <w:rFonts w:asciiTheme="minorHAnsi" w:hAnsiTheme="minorHAnsi"/>
          <w:b w:val="0"/>
          <w:bCs w:val="0"/>
          <w:sz w:val="18"/>
          <w:szCs w:val="18"/>
          <w:lang w:val="en-AU"/>
        </w:rPr>
        <w:t>Background</w:t>
      </w:r>
      <w:r w:rsidRPr="001E13AC">
        <w:rPr>
          <w:rFonts w:asciiTheme="minorHAnsi" w:hAnsiTheme="minorHAnsi"/>
          <w:b w:val="0"/>
          <w:bCs w:val="0"/>
          <w:sz w:val="18"/>
          <w:szCs w:val="18"/>
          <w:lang w:val="en-AU"/>
        </w:rPr>
        <w:t xml:space="preserve"> - </w:t>
      </w:r>
      <w:r w:rsidRPr="001E13AC">
        <w:rPr>
          <w:rFonts w:asciiTheme="minorHAnsi" w:hAnsiTheme="minorHAnsi"/>
          <w:b w:val="0"/>
          <w:bCs w:val="0"/>
          <w:sz w:val="18"/>
          <w:szCs w:val="18"/>
          <w:lang w:val="en-AU"/>
        </w:rPr>
        <w:t>Ureteric stone obstruction commonly presents to the Emergency Department, with definitive management often involving ureteroscopy and laser lithotripsy.  Insertion of a ureteric stent prior to staged lithotripsy is commonly performed in the public healthcare system. Foreign bodies in the urinary tract are also known to increase urinary tract infection (UTI) risk. This study aims to evaluate the association between stent dwell time and UTI prior to lithotripsy.</w:t>
      </w:r>
    </w:p>
    <w:p w:rsidR="001E13AC" w:rsidRPr="001E13AC" w:rsidRDefault="001E13AC" w:rsidP="001E13AC">
      <w:pPr>
        <w:pStyle w:val="Heading3"/>
        <w:spacing w:before="74"/>
        <w:rPr>
          <w:rFonts w:asciiTheme="minorHAnsi" w:hAnsiTheme="minorHAnsi"/>
          <w:b w:val="0"/>
          <w:bCs w:val="0"/>
          <w:sz w:val="18"/>
          <w:szCs w:val="18"/>
          <w:lang w:val="en-AU"/>
        </w:rPr>
      </w:pPr>
      <w:r w:rsidRPr="001E13AC">
        <w:rPr>
          <w:rFonts w:asciiTheme="minorHAnsi" w:hAnsiTheme="minorHAnsi"/>
          <w:b w:val="0"/>
          <w:bCs w:val="0"/>
          <w:sz w:val="18"/>
          <w:szCs w:val="18"/>
          <w:lang w:val="en-AU"/>
        </w:rPr>
        <w:t>Methods</w:t>
      </w:r>
      <w:r w:rsidRPr="001E13AC">
        <w:rPr>
          <w:rFonts w:asciiTheme="minorHAnsi" w:hAnsiTheme="minorHAnsi"/>
          <w:b w:val="0"/>
          <w:bCs w:val="0"/>
          <w:sz w:val="18"/>
          <w:szCs w:val="18"/>
          <w:lang w:val="en-AU"/>
        </w:rPr>
        <w:t xml:space="preserve"> - </w:t>
      </w:r>
      <w:r w:rsidRPr="001E13AC">
        <w:rPr>
          <w:rFonts w:asciiTheme="minorHAnsi" w:hAnsiTheme="minorHAnsi"/>
          <w:b w:val="0"/>
          <w:bCs w:val="0"/>
          <w:sz w:val="18"/>
          <w:szCs w:val="18"/>
          <w:lang w:val="en-AU"/>
        </w:rPr>
        <w:t>The medical records of all patients who were treated for ureteric stones with initial stent insertion and staged  lithotripsy, from 1 January 2018 to 30 June 2019 at a single tertiary centre, by eight urologists were retrospectively reviewed. Demographic features, disease factors and urine culture data were collected and analysed.</w:t>
      </w:r>
    </w:p>
    <w:p w:rsidR="001E13AC" w:rsidRPr="001E13AC" w:rsidRDefault="001E13AC" w:rsidP="001E13AC">
      <w:pPr>
        <w:pStyle w:val="Heading3"/>
        <w:spacing w:before="74"/>
        <w:rPr>
          <w:rFonts w:asciiTheme="minorHAnsi" w:hAnsiTheme="minorHAnsi"/>
          <w:b w:val="0"/>
          <w:bCs w:val="0"/>
          <w:sz w:val="18"/>
          <w:szCs w:val="18"/>
          <w:lang w:val="en-AU"/>
        </w:rPr>
      </w:pPr>
      <w:r w:rsidRPr="001E13AC">
        <w:rPr>
          <w:rFonts w:asciiTheme="minorHAnsi" w:hAnsiTheme="minorHAnsi"/>
          <w:b w:val="0"/>
          <w:bCs w:val="0"/>
          <w:sz w:val="18"/>
          <w:szCs w:val="18"/>
          <w:lang w:val="en-AU"/>
        </w:rPr>
        <w:t>Results</w:t>
      </w:r>
      <w:r w:rsidRPr="001E13AC">
        <w:rPr>
          <w:rFonts w:asciiTheme="minorHAnsi" w:hAnsiTheme="minorHAnsi"/>
          <w:b w:val="0"/>
          <w:bCs w:val="0"/>
          <w:sz w:val="18"/>
          <w:szCs w:val="18"/>
          <w:lang w:val="en-AU"/>
        </w:rPr>
        <w:t xml:space="preserve"> - </w:t>
      </w:r>
      <w:r w:rsidRPr="001E13AC">
        <w:rPr>
          <w:rFonts w:asciiTheme="minorHAnsi" w:hAnsiTheme="minorHAnsi"/>
          <w:b w:val="0"/>
          <w:bCs w:val="0"/>
          <w:sz w:val="18"/>
          <w:szCs w:val="18"/>
          <w:lang w:val="en-AU"/>
        </w:rPr>
        <w:t>Of the 172 patients (median age 56.7 years) identified, one third had a positive pre-stent urine culture. Twenty-three percent had a positive pre-lithotripsy urine culture with 38% of females compared with 15% of males having a positive culture (p=0.001). Only 4.3% of patients had a pre-lithotripsy UTI when the stent dwell time was under one month compared with 26.2% when ureteric stents were in situ longer than one month (p=0.021). The correlation between ureteric stent dwell time and pre-lithotripsy UTI was not linear. Patient co-morbidities, stone size, burden and location were not statistically correlated to pre-lithotripsy UTI.</w:t>
      </w:r>
    </w:p>
    <w:p w:rsidR="001E13AC" w:rsidRPr="001E13AC" w:rsidRDefault="001E13AC" w:rsidP="001E13AC">
      <w:pPr>
        <w:pStyle w:val="Heading3"/>
        <w:spacing w:before="74"/>
        <w:rPr>
          <w:rFonts w:asciiTheme="minorHAnsi" w:hAnsiTheme="minorHAnsi"/>
          <w:b w:val="0"/>
          <w:bCs w:val="0"/>
          <w:sz w:val="18"/>
          <w:szCs w:val="18"/>
          <w:lang w:val="en-AU"/>
        </w:rPr>
      </w:pPr>
      <w:r w:rsidRPr="001E13AC">
        <w:rPr>
          <w:rFonts w:asciiTheme="minorHAnsi" w:hAnsiTheme="minorHAnsi"/>
          <w:b w:val="0"/>
          <w:bCs w:val="0"/>
          <w:sz w:val="18"/>
          <w:szCs w:val="18"/>
          <w:lang w:val="en-AU"/>
        </w:rPr>
        <w:t>Conclusion</w:t>
      </w:r>
      <w:r w:rsidRPr="001E13AC">
        <w:rPr>
          <w:rFonts w:asciiTheme="minorHAnsi" w:hAnsiTheme="minorHAnsi"/>
          <w:b w:val="0"/>
          <w:bCs w:val="0"/>
          <w:sz w:val="18"/>
          <w:szCs w:val="18"/>
          <w:lang w:val="en-AU"/>
        </w:rPr>
        <w:t xml:space="preserve"> - </w:t>
      </w:r>
      <w:r w:rsidRPr="001E13AC">
        <w:rPr>
          <w:rFonts w:asciiTheme="minorHAnsi" w:hAnsiTheme="minorHAnsi"/>
          <w:b w:val="0"/>
          <w:bCs w:val="0"/>
          <w:sz w:val="18"/>
          <w:szCs w:val="18"/>
          <w:lang w:val="en-AU"/>
        </w:rPr>
        <w:t>In delayed two-staged surgical management of acute urolithiasis, optimal ureteric stent dwell time is below one month to reduce pre-lithotripsy UTI. Female gender is an independent risk factor for pre-lithotripsy UTI.</w:t>
      </w:r>
    </w:p>
    <w:p w:rsidR="00AE3E37" w:rsidRDefault="00A9710C">
      <w:pPr>
        <w:pStyle w:val="Heading3"/>
        <w:spacing w:before="74"/>
      </w:pPr>
      <w:r>
        <w:rPr>
          <w:b w:val="0"/>
        </w:rPr>
        <w:br w:type="column"/>
      </w:r>
      <w:r>
        <w:rPr>
          <w:color w:val="BF5A14"/>
        </w:rPr>
        <w:t>Image</w:t>
      </w:r>
    </w:p>
    <w:p w:rsidR="00AE3E37" w:rsidRDefault="001E13AC">
      <w:pPr>
        <w:pStyle w:val="BodyText"/>
        <w:spacing w:before="2"/>
        <w:rPr>
          <w:rFonts w:ascii="Arial"/>
          <w:b/>
          <w:sz w:val="16"/>
        </w:rPr>
      </w:pPr>
      <w:r>
        <w:rPr>
          <w:noProof/>
        </w:rPr>
        <w:drawing>
          <wp:inline distT="0" distB="0" distL="0" distR="0" wp14:anchorId="70E6621D" wp14:editId="514EEBD8">
            <wp:extent cx="3165475" cy="1715393"/>
            <wp:effectExtent l="0" t="0" r="9525" b="12065"/>
            <wp:docPr id="3" name="Chart 3">
              <a:extLst xmlns:a="http://schemas.openxmlformats.org/drawingml/2006/main">
                <a:ext uri="{FF2B5EF4-FFF2-40B4-BE49-F238E27FC236}">
                  <a16:creationId xmlns:a16="http://schemas.microsoft.com/office/drawing/2014/main" id="{D9DA51A3-BE0F-A042-8E09-932D0AA148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E13AC" w:rsidRPr="001E13AC" w:rsidRDefault="001E13AC" w:rsidP="001E13AC">
      <w:pPr>
        <w:tabs>
          <w:tab w:val="left" w:pos="384"/>
        </w:tabs>
        <w:ind w:right="117"/>
        <w:rPr>
          <w:rFonts w:ascii="Calibri" w:eastAsia="Calibri" w:hAnsi="Calibri" w:cs="Calibri"/>
          <w:sz w:val="18"/>
        </w:rPr>
      </w:pPr>
      <w:r>
        <w:rPr>
          <w:rFonts w:ascii="Calibri" w:eastAsia="Calibri" w:hAnsi="Calibri" w:cs="Calibri"/>
          <w:sz w:val="18"/>
        </w:rPr>
        <w:t>1</w:t>
      </w:r>
      <w:r w:rsidRPr="001E13AC">
        <w:rPr>
          <w:rFonts w:ascii="Calibri" w:eastAsia="Calibri" w:hAnsi="Calibri" w:cs="Calibri"/>
          <w:sz w:val="18"/>
        </w:rPr>
        <w:t>.</w:t>
      </w:r>
      <w:r w:rsidRPr="001E13AC">
        <w:rPr>
          <w:rFonts w:ascii="Calibri" w:eastAsia="Calibri" w:hAnsi="Calibri" w:cs="Calibri"/>
          <w:sz w:val="18"/>
        </w:rPr>
        <w:tab/>
        <w:t xml:space="preserve">Romero V, </w:t>
      </w:r>
      <w:proofErr w:type="spellStart"/>
      <w:r w:rsidRPr="001E13AC">
        <w:rPr>
          <w:rFonts w:ascii="Calibri" w:eastAsia="Calibri" w:hAnsi="Calibri" w:cs="Calibri"/>
          <w:sz w:val="18"/>
        </w:rPr>
        <w:t>Akpinar</w:t>
      </w:r>
      <w:proofErr w:type="spellEnd"/>
      <w:r w:rsidRPr="001E13AC">
        <w:rPr>
          <w:rFonts w:ascii="Calibri" w:eastAsia="Calibri" w:hAnsi="Calibri" w:cs="Calibri"/>
          <w:sz w:val="18"/>
        </w:rPr>
        <w:t xml:space="preserve"> H, </w:t>
      </w:r>
      <w:proofErr w:type="spellStart"/>
      <w:r w:rsidRPr="001E13AC">
        <w:rPr>
          <w:rFonts w:ascii="Calibri" w:eastAsia="Calibri" w:hAnsi="Calibri" w:cs="Calibri"/>
          <w:sz w:val="18"/>
        </w:rPr>
        <w:t>Assimos</w:t>
      </w:r>
      <w:proofErr w:type="spellEnd"/>
      <w:r w:rsidRPr="001E13AC">
        <w:rPr>
          <w:rFonts w:ascii="Calibri" w:eastAsia="Calibri" w:hAnsi="Calibri" w:cs="Calibri"/>
          <w:sz w:val="18"/>
        </w:rPr>
        <w:t xml:space="preserve"> DG. Kidney stones: a global picture of prevalence, incidence, and associated risk factors. Rev Urol. 2010;12(2-3):e86-96.</w:t>
      </w:r>
    </w:p>
    <w:p w:rsidR="001E13AC" w:rsidRPr="001E13AC" w:rsidRDefault="001E13AC" w:rsidP="001E13AC">
      <w:pPr>
        <w:tabs>
          <w:tab w:val="left" w:pos="384"/>
        </w:tabs>
        <w:ind w:right="117"/>
        <w:rPr>
          <w:rFonts w:ascii="Calibri" w:eastAsia="Calibri" w:hAnsi="Calibri" w:cs="Calibri"/>
          <w:sz w:val="18"/>
        </w:rPr>
      </w:pPr>
      <w:r w:rsidRPr="001E13AC">
        <w:rPr>
          <w:rFonts w:ascii="Calibri" w:eastAsia="Calibri" w:hAnsi="Calibri" w:cs="Calibri"/>
          <w:sz w:val="18"/>
        </w:rPr>
        <w:t>2.</w:t>
      </w:r>
      <w:r w:rsidRPr="001E13AC">
        <w:rPr>
          <w:rFonts w:ascii="Calibri" w:eastAsia="Calibri" w:hAnsi="Calibri" w:cs="Calibri"/>
          <w:sz w:val="18"/>
        </w:rPr>
        <w:tab/>
        <w:t>Hughes P. The CARI guidelines. Kidney stones epidemiology. Nephrology (Carlton). 2007;12 Suppl 1:S26-30.</w:t>
      </w:r>
    </w:p>
    <w:p w:rsidR="001E13AC" w:rsidRPr="001E13AC" w:rsidRDefault="001E13AC" w:rsidP="001E13AC">
      <w:pPr>
        <w:tabs>
          <w:tab w:val="left" w:pos="384"/>
        </w:tabs>
        <w:ind w:right="117"/>
        <w:rPr>
          <w:rFonts w:ascii="Calibri" w:eastAsia="Calibri" w:hAnsi="Calibri" w:cs="Calibri"/>
          <w:sz w:val="18"/>
        </w:rPr>
      </w:pPr>
      <w:r w:rsidRPr="001E13AC">
        <w:rPr>
          <w:rFonts w:ascii="Calibri" w:eastAsia="Calibri" w:hAnsi="Calibri" w:cs="Calibri"/>
          <w:sz w:val="18"/>
        </w:rPr>
        <w:t>3.</w:t>
      </w:r>
      <w:r w:rsidRPr="001E13AC">
        <w:rPr>
          <w:rFonts w:ascii="Calibri" w:eastAsia="Calibri" w:hAnsi="Calibri" w:cs="Calibri"/>
          <w:sz w:val="18"/>
        </w:rPr>
        <w:tab/>
        <w:t xml:space="preserve">Preminger GM, Tiselius HG, </w:t>
      </w:r>
      <w:proofErr w:type="spellStart"/>
      <w:r w:rsidRPr="001E13AC">
        <w:rPr>
          <w:rFonts w:ascii="Calibri" w:eastAsia="Calibri" w:hAnsi="Calibri" w:cs="Calibri"/>
          <w:sz w:val="18"/>
        </w:rPr>
        <w:t>Assimos</w:t>
      </w:r>
      <w:proofErr w:type="spellEnd"/>
      <w:r w:rsidRPr="001E13AC">
        <w:rPr>
          <w:rFonts w:ascii="Calibri" w:eastAsia="Calibri" w:hAnsi="Calibri" w:cs="Calibri"/>
          <w:sz w:val="18"/>
        </w:rPr>
        <w:t xml:space="preserve"> DG, </w:t>
      </w:r>
      <w:proofErr w:type="spellStart"/>
      <w:r w:rsidRPr="001E13AC">
        <w:rPr>
          <w:rFonts w:ascii="Calibri" w:eastAsia="Calibri" w:hAnsi="Calibri" w:cs="Calibri"/>
          <w:sz w:val="18"/>
        </w:rPr>
        <w:t>Alken</w:t>
      </w:r>
      <w:proofErr w:type="spellEnd"/>
      <w:r w:rsidRPr="001E13AC">
        <w:rPr>
          <w:rFonts w:ascii="Calibri" w:eastAsia="Calibri" w:hAnsi="Calibri" w:cs="Calibri"/>
          <w:sz w:val="18"/>
        </w:rPr>
        <w:t xml:space="preserve"> P, Buck AC, Gallucci M, et al. 2007 Guideline for the management of ureteric calculi. Eur Urol. 2007;52(6):1610-31.</w:t>
      </w:r>
    </w:p>
    <w:p w:rsidR="001E13AC" w:rsidRPr="001E13AC" w:rsidRDefault="001E13AC" w:rsidP="001E13AC">
      <w:pPr>
        <w:tabs>
          <w:tab w:val="left" w:pos="384"/>
        </w:tabs>
        <w:ind w:right="117"/>
        <w:rPr>
          <w:rFonts w:ascii="Calibri" w:eastAsia="Calibri" w:hAnsi="Calibri" w:cs="Calibri"/>
          <w:sz w:val="18"/>
        </w:rPr>
      </w:pPr>
      <w:r w:rsidRPr="001E13AC">
        <w:rPr>
          <w:rFonts w:ascii="Calibri" w:eastAsia="Calibri" w:hAnsi="Calibri" w:cs="Calibri"/>
          <w:sz w:val="18"/>
        </w:rPr>
        <w:t>4.</w:t>
      </w:r>
      <w:r w:rsidRPr="001E13AC">
        <w:rPr>
          <w:rFonts w:ascii="Calibri" w:eastAsia="Calibri" w:hAnsi="Calibri" w:cs="Calibri"/>
          <w:sz w:val="18"/>
        </w:rPr>
        <w:tab/>
      </w:r>
      <w:proofErr w:type="spellStart"/>
      <w:r w:rsidRPr="001E13AC">
        <w:rPr>
          <w:rFonts w:ascii="Calibri" w:eastAsia="Calibri" w:hAnsi="Calibri" w:cs="Calibri"/>
          <w:sz w:val="18"/>
        </w:rPr>
        <w:t>Campschroer</w:t>
      </w:r>
      <w:proofErr w:type="spellEnd"/>
      <w:r w:rsidRPr="001E13AC">
        <w:rPr>
          <w:rFonts w:ascii="Calibri" w:eastAsia="Calibri" w:hAnsi="Calibri" w:cs="Calibri"/>
          <w:sz w:val="18"/>
        </w:rPr>
        <w:t xml:space="preserve"> T, Zhu Y, </w:t>
      </w:r>
      <w:proofErr w:type="spellStart"/>
      <w:r w:rsidRPr="001E13AC">
        <w:rPr>
          <w:rFonts w:ascii="Calibri" w:eastAsia="Calibri" w:hAnsi="Calibri" w:cs="Calibri"/>
          <w:sz w:val="18"/>
        </w:rPr>
        <w:t>Duijvesz</w:t>
      </w:r>
      <w:proofErr w:type="spellEnd"/>
      <w:r w:rsidRPr="001E13AC">
        <w:rPr>
          <w:rFonts w:ascii="Calibri" w:eastAsia="Calibri" w:hAnsi="Calibri" w:cs="Calibri"/>
          <w:sz w:val="18"/>
        </w:rPr>
        <w:t xml:space="preserve"> D, </w:t>
      </w:r>
      <w:proofErr w:type="spellStart"/>
      <w:r w:rsidRPr="001E13AC">
        <w:rPr>
          <w:rFonts w:ascii="Calibri" w:eastAsia="Calibri" w:hAnsi="Calibri" w:cs="Calibri"/>
          <w:sz w:val="18"/>
        </w:rPr>
        <w:t>Grobbee</w:t>
      </w:r>
      <w:proofErr w:type="spellEnd"/>
      <w:r w:rsidRPr="001E13AC">
        <w:rPr>
          <w:rFonts w:ascii="Calibri" w:eastAsia="Calibri" w:hAnsi="Calibri" w:cs="Calibri"/>
          <w:sz w:val="18"/>
        </w:rPr>
        <w:t xml:space="preserve"> DE, Lock MT. Alpha-blockers as medical expulsive therapy for ureteric stones. Cochrane Database Syst Rev. 2014(4):Cd008509.</w:t>
      </w:r>
    </w:p>
    <w:p w:rsidR="00AE3E37" w:rsidRPr="001E13AC" w:rsidRDefault="001E13AC" w:rsidP="008756E6">
      <w:pPr>
        <w:tabs>
          <w:tab w:val="left" w:pos="384"/>
        </w:tabs>
        <w:ind w:right="117"/>
        <w:rPr>
          <w:rFonts w:ascii="Calibri" w:eastAsia="Calibri" w:hAnsi="Calibri" w:cs="Calibri"/>
          <w:sz w:val="18"/>
        </w:rPr>
      </w:pPr>
      <w:r w:rsidRPr="001E13AC">
        <w:rPr>
          <w:rFonts w:ascii="Calibri" w:eastAsia="Calibri" w:hAnsi="Calibri" w:cs="Calibri"/>
          <w:sz w:val="18"/>
        </w:rPr>
        <w:t>5.</w:t>
      </w:r>
      <w:r w:rsidRPr="001E13AC">
        <w:rPr>
          <w:rFonts w:ascii="Calibri" w:eastAsia="Calibri" w:hAnsi="Calibri" w:cs="Calibri"/>
          <w:sz w:val="18"/>
        </w:rPr>
        <w:tab/>
        <w:t xml:space="preserve">Chung DY, Kang DH, Cho KS, </w:t>
      </w:r>
      <w:proofErr w:type="spellStart"/>
      <w:r w:rsidRPr="001E13AC">
        <w:rPr>
          <w:rFonts w:ascii="Calibri" w:eastAsia="Calibri" w:hAnsi="Calibri" w:cs="Calibri"/>
          <w:sz w:val="18"/>
        </w:rPr>
        <w:t>Jeong</w:t>
      </w:r>
      <w:proofErr w:type="spellEnd"/>
      <w:r w:rsidRPr="001E13AC">
        <w:rPr>
          <w:rFonts w:ascii="Calibri" w:eastAsia="Calibri" w:hAnsi="Calibri" w:cs="Calibri"/>
          <w:sz w:val="18"/>
        </w:rPr>
        <w:t xml:space="preserve"> WS, Jung HD, Kwon JK, et al. Comparison of stone-free rates following shock wave lithotripsy, percutaneous nephrolithotomy, and retrograde intrarenal surgery for treatment of renal stones: A systematic review and network meta-analysis. </w:t>
      </w:r>
      <w:proofErr w:type="spellStart"/>
      <w:r w:rsidRPr="001E13AC">
        <w:rPr>
          <w:rFonts w:ascii="Calibri" w:eastAsia="Calibri" w:hAnsi="Calibri" w:cs="Calibri"/>
          <w:sz w:val="18"/>
        </w:rPr>
        <w:t>PLoS</w:t>
      </w:r>
      <w:proofErr w:type="spellEnd"/>
      <w:r w:rsidRPr="001E13AC">
        <w:rPr>
          <w:rFonts w:ascii="Calibri" w:eastAsia="Calibri" w:hAnsi="Calibri" w:cs="Calibri"/>
          <w:sz w:val="18"/>
        </w:rPr>
        <w:t xml:space="preserve"> One. 2019;14(2):e0211316.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E13AC">
      <w:pPr>
        <w:pStyle w:val="BodyText"/>
        <w:rPr>
          <w:rFonts w:ascii="Calibri"/>
          <w:sz w:val="20"/>
        </w:rPr>
      </w:pPr>
      <w:r>
        <w:rPr>
          <w:rFonts w:ascii="Arial"/>
          <w:noProof/>
          <w:color w:val="BF5A14"/>
        </w:rPr>
        <w:drawing>
          <wp:anchor distT="0" distB="0" distL="114300" distR="114300" simplePos="0" relativeHeight="251659264" behindDoc="1" locked="0" layoutInCell="1" allowOverlap="1">
            <wp:simplePos x="0" y="0"/>
            <wp:positionH relativeFrom="column">
              <wp:posOffset>273050</wp:posOffset>
            </wp:positionH>
            <wp:positionV relativeFrom="paragraph">
              <wp:posOffset>158115</wp:posOffset>
            </wp:positionV>
            <wp:extent cx="647700" cy="1022350"/>
            <wp:effectExtent l="0" t="0" r="0" b="6350"/>
            <wp:wrapTight wrapText="bothSides">
              <wp:wrapPolygon edited="0">
                <wp:start x="0" y="0"/>
                <wp:lineTo x="0" y="21466"/>
                <wp:lineTo x="21176" y="21466"/>
                <wp:lineTo x="21176" y="0"/>
                <wp:lineTo x="0" y="0"/>
              </wp:wrapPolygon>
            </wp:wrapTight>
            <wp:docPr id="2" name="Picture 2"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7700" cy="1022350"/>
                    </a:xfrm>
                    <a:prstGeom prst="rect">
                      <a:avLst/>
                    </a:prstGeom>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23FF9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1E13AC" w:rsidRDefault="001E13AC">
      <w:pPr>
        <w:spacing w:before="41" w:line="154" w:lineRule="exact"/>
        <w:ind w:left="213" w:right="231"/>
        <w:jc w:val="both"/>
        <w:rPr>
          <w:rFonts w:ascii="Arial"/>
          <w:sz w:val="14"/>
        </w:rPr>
      </w:pPr>
      <w:r>
        <w:rPr>
          <w:rFonts w:ascii="Arial"/>
          <w:sz w:val="14"/>
        </w:rPr>
        <w:t>Bishoy Hanna is a passionate and enthusiastic junior doctor pursuing urological training. He is involved in teaching, published widely and clinical work in a major tertiary center in Sydney, Australia. His interests include general urology, urological oncology and robotic surgery</w:t>
      </w:r>
    </w:p>
    <w:p w:rsidR="001E13AC" w:rsidRDefault="001E13AC">
      <w:pPr>
        <w:spacing w:before="41" w:line="154" w:lineRule="exact"/>
        <w:ind w:left="213" w:right="231"/>
        <w:jc w:val="both"/>
        <w:rPr>
          <w:rFonts w:ascii="Arial"/>
          <w:sz w:val="14"/>
        </w:rPr>
      </w:pPr>
    </w:p>
    <w:p w:rsidR="00AE3E37" w:rsidRDefault="00A9710C" w:rsidP="001E13AC">
      <w:pPr>
        <w:spacing w:before="62"/>
        <w:ind w:left="4217" w:right="4235"/>
        <w:rPr>
          <w:rFonts w:ascii="Arial"/>
          <w:sz w:val="14"/>
        </w:rPr>
      </w:pPr>
      <w:r>
        <w:rPr>
          <w:rFonts w:ascii="Arial"/>
          <w:sz w:val="14"/>
        </w:rPr>
        <w:t>Email</w:t>
      </w:r>
      <w:r w:rsidR="001E13AC">
        <w:rPr>
          <w:rFonts w:ascii="Arial"/>
          <w:sz w:val="14"/>
        </w:rPr>
        <w:t xml:space="preserve">: </w:t>
      </w:r>
      <w:hyperlink r:id="rId11" w:history="1">
        <w:r w:rsidR="001E13AC" w:rsidRPr="004C4235">
          <w:rPr>
            <w:rStyle w:val="Hyperlink"/>
            <w:rFonts w:ascii="Arial"/>
            <w:sz w:val="14"/>
          </w:rPr>
          <w:t>bishoy.hanna@icloud.com</w:t>
        </w:r>
      </w:hyperlink>
      <w:r w:rsidR="001E13AC">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D000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6EE2" w:rsidRDefault="00FC6EE2">
      <w:r>
        <w:separator/>
      </w:r>
    </w:p>
  </w:endnote>
  <w:endnote w:type="continuationSeparator" w:id="0">
    <w:p w:rsidR="00FC6EE2" w:rsidRDefault="00FC6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6EE2" w:rsidRDefault="00FC6EE2">
      <w:r>
        <w:separator/>
      </w:r>
    </w:p>
  </w:footnote>
  <w:footnote w:type="continuationSeparator" w:id="0">
    <w:p w:rsidR="00FC6EE2" w:rsidRDefault="00FC6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13AC"/>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0FC6E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47464"/>
  <w15:docId w15:val="{C08565A3-BF1B-1F4B-B3ED-05410D894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E1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shoy.hanna@icloud.com" TargetMode="External"/><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about:blank"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sng"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700" b="1" u="sng"/>
              <a:t>Figure 1. </a:t>
            </a:r>
            <a:r>
              <a:rPr lang="en-US" sz="700" b="1" i="0" u="sng"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Ureteric</a:t>
            </a:r>
            <a:r>
              <a:rPr lang="en-US" sz="700" b="1" u="sng"/>
              <a:t> Stent Dwell Time and Pre-Lithtripsy UTI rates</a:t>
            </a:r>
          </a:p>
        </c:rich>
      </c:tx>
      <c:overlay val="0"/>
      <c:spPr>
        <a:noFill/>
        <a:ln>
          <a:noFill/>
        </a:ln>
        <a:effectLst/>
      </c:spPr>
      <c:txPr>
        <a:bodyPr rot="0" spcFirstLastPara="1" vertOverflow="ellipsis" vert="horz" wrap="square" anchor="ctr" anchorCtr="1"/>
        <a:lstStyle/>
        <a:p>
          <a:pPr>
            <a:defRPr sz="1400" b="1" i="0" u="sng"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Sheet1!$G$2</c:f>
              <c:strCache>
                <c:ptCount val="1"/>
                <c:pt idx="0">
                  <c:v>UTI rates (%)</c:v>
                </c:pt>
              </c:strCache>
            </c:strRef>
          </c:tx>
          <c:spPr>
            <a:solidFill>
              <a:schemeClr val="accent1"/>
            </a:solidFill>
            <a:ln>
              <a:noFill/>
            </a:ln>
            <a:effectLst/>
          </c:spPr>
          <c:invertIfNegative val="0"/>
          <c:dLbls>
            <c:dLbl>
              <c:idx val="0"/>
              <c:layout>
                <c:manualLayout>
                  <c:x val="0"/>
                  <c:y val="9.8602150851099191E-2"/>
                </c:manualLayout>
              </c:layout>
              <c:tx>
                <c:rich>
                  <a:bodyPr/>
                  <a:lstStyle/>
                  <a:p>
                    <a:r>
                      <a:rPr lang="en-US"/>
                      <a:t>4.3%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AF5-8342-A92D-31DE79F39EF7}"/>
                </c:ext>
              </c:extLst>
            </c:dLbl>
            <c:dLbl>
              <c:idx val="1"/>
              <c:tx>
                <c:rich>
                  <a:bodyPr/>
                  <a:lstStyle/>
                  <a:p>
                    <a:r>
                      <a:rPr lang="en-US"/>
                      <a:t>26%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AF5-8342-A92D-31DE79F39EF7}"/>
                </c:ext>
              </c:extLst>
            </c:dLbl>
            <c:dLbl>
              <c:idx val="2"/>
              <c:tx>
                <c:rich>
                  <a:bodyPr/>
                  <a:lstStyle/>
                  <a:p>
                    <a:r>
                      <a:rPr lang="en-US"/>
                      <a:t>26%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AF5-8342-A92D-31DE79F39EF7}"/>
                </c:ext>
              </c:extLst>
            </c:dLbl>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Sheet1!$H$1:$J$1</c:f>
              <c:strCache>
                <c:ptCount val="3"/>
                <c:pt idx="0">
                  <c:v>≤1 month</c:v>
                </c:pt>
                <c:pt idx="1">
                  <c:v>&gt;1 month to 2.5 months</c:v>
                </c:pt>
                <c:pt idx="2">
                  <c:v>&gt;2.5 months</c:v>
                </c:pt>
              </c:strCache>
            </c:strRef>
          </c:cat>
          <c:val>
            <c:numRef>
              <c:f>Sheet1!$H$2:$J$2</c:f>
              <c:numCache>
                <c:formatCode>General</c:formatCode>
                <c:ptCount val="3"/>
                <c:pt idx="0">
                  <c:v>4.3</c:v>
                </c:pt>
                <c:pt idx="1">
                  <c:v>26</c:v>
                </c:pt>
                <c:pt idx="2">
                  <c:v>26</c:v>
                </c:pt>
              </c:numCache>
            </c:numRef>
          </c:val>
          <c:extLst>
            <c:ext xmlns:c16="http://schemas.microsoft.com/office/drawing/2014/chart" uri="{C3380CC4-5D6E-409C-BE32-E72D297353CC}">
              <c16:uniqueId val="{00000003-6AF5-8342-A92D-31DE79F39EF7}"/>
            </c:ext>
          </c:extLst>
        </c:ser>
        <c:dLbls>
          <c:showLegendKey val="0"/>
          <c:showVal val="0"/>
          <c:showCatName val="0"/>
          <c:showSerName val="0"/>
          <c:showPercent val="0"/>
          <c:showBubbleSize val="0"/>
        </c:dLbls>
        <c:gapWidth val="219"/>
        <c:overlap val="-27"/>
        <c:axId val="234584784"/>
        <c:axId val="234710672"/>
      </c:barChart>
      <c:catAx>
        <c:axId val="234584784"/>
        <c:scaling>
          <c:orientation val="minMax"/>
        </c:scaling>
        <c:delete val="0"/>
        <c:axPos val="b"/>
        <c:title>
          <c:tx>
            <c:rich>
              <a:bodyPr rot="0" spcFirstLastPara="1" vertOverflow="ellipsis" vert="horz" wrap="square" anchor="ctr" anchorCtr="1"/>
              <a:lstStyle/>
              <a:p>
                <a:pPr>
                  <a:defRPr sz="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600" b="1"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Ureteric</a:t>
                </a:r>
                <a:r>
                  <a:rPr lang="en-GB" sz="600" b="1" u="none"/>
                  <a:t> Stent Dwell Time </a:t>
                </a:r>
              </a:p>
            </c:rich>
          </c:tx>
          <c:layout>
            <c:manualLayout>
              <c:xMode val="edge"/>
              <c:yMode val="edge"/>
              <c:x val="0.43271926014263262"/>
              <c:y val="0.87519408093240469"/>
            </c:manualLayout>
          </c:layout>
          <c:overlay val="0"/>
          <c:spPr>
            <a:noFill/>
            <a:ln>
              <a:noFill/>
            </a:ln>
            <a:effectLst/>
          </c:spPr>
          <c:txPr>
            <a:bodyPr rot="0" spcFirstLastPara="1" vertOverflow="ellipsis" vert="horz" wrap="square" anchor="ctr" anchorCtr="1"/>
            <a:lstStyle/>
            <a:p>
              <a:pPr>
                <a:defRPr sz="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4710672"/>
        <c:crosses val="autoZero"/>
        <c:auto val="1"/>
        <c:lblAlgn val="ctr"/>
        <c:lblOffset val="100"/>
        <c:noMultiLvlLbl val="0"/>
      </c:catAx>
      <c:valAx>
        <c:axId val="234710672"/>
        <c:scaling>
          <c:orientation val="minMax"/>
        </c:scaling>
        <c:delete val="0"/>
        <c:axPos val="l"/>
        <c:title>
          <c:tx>
            <c:rich>
              <a:bodyPr rot="-5400000" spcFirstLastPara="1" vertOverflow="ellipsis" vert="horz" wrap="square" anchor="ctr" anchorCtr="1"/>
              <a:lstStyle/>
              <a:p>
                <a:pPr>
                  <a:defRPr sz="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600" b="1" u="none"/>
                  <a:t>Pre-Lithotripsy UTI rates (% of patients)</a:t>
                </a:r>
              </a:p>
            </c:rich>
          </c:tx>
          <c:layout>
            <c:manualLayout>
              <c:xMode val="edge"/>
              <c:yMode val="edge"/>
              <c:x val="1.638851779405066E-2"/>
              <c:y val="0.17051213592918754"/>
            </c:manualLayout>
          </c:layout>
          <c:overlay val="0"/>
          <c:spPr>
            <a:noFill/>
            <a:ln>
              <a:noFill/>
            </a:ln>
            <a:effectLst/>
          </c:spPr>
          <c:txPr>
            <a:bodyPr rot="-5400000" spcFirstLastPara="1" vertOverflow="ellipsis" vert="horz" wrap="square" anchor="ctr" anchorCtr="1"/>
            <a:lstStyle/>
            <a:p>
              <a:pPr>
                <a:defRPr sz="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4584784"/>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482</Words>
  <Characters>2931</Characters>
  <Application>Microsoft Office Word</Application>
  <DocSecurity>0</DocSecurity>
  <Lines>55</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bish_gypo@hotmail.com</cp:lastModifiedBy>
  <cp:revision>2</cp:revision>
  <dcterms:created xsi:type="dcterms:W3CDTF">2020-10-27T23:40:00Z</dcterms:created>
  <dcterms:modified xsi:type="dcterms:W3CDTF">2020-10-27T23:40:00Z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